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right="0" w:rightChars="0"/>
        <w:rPr>
          <w:rFonts w:ascii="方正小标宋简体" w:hAnsi="方正小标宋简体" w:eastAsia="方正小标宋简体" w:cs="方正小标宋简体"/>
          <w:color w:val="auto"/>
          <w:sz w:val="28"/>
          <w:szCs w:val="28"/>
        </w:rPr>
      </w:pPr>
      <w:r>
        <w:rPr>
          <w:rFonts w:hint="eastAsia" w:ascii="方正小标宋简体" w:hAnsi="方正小标宋简体" w:eastAsia="方正小标宋简体" w:cs="方正小标宋简体"/>
          <w:color w:val="auto"/>
          <w:sz w:val="28"/>
          <w:szCs w:val="28"/>
        </w:rPr>
        <w:t>佛山市顺德区路桥养护有限公司</w:t>
      </w:r>
    </w:p>
    <w:p>
      <w:pPr>
        <w:pStyle w:val="3"/>
        <w:ind w:right="0" w:rightChars="0"/>
        <w:rPr>
          <w:rFonts w:ascii="方正小标宋简体" w:hAnsi="方正小标宋简体" w:eastAsia="方正小标宋简体" w:cs="方正小标宋简体"/>
          <w:color w:val="auto"/>
          <w:sz w:val="28"/>
          <w:szCs w:val="28"/>
        </w:rPr>
      </w:pPr>
      <w:r>
        <w:rPr>
          <w:rFonts w:hint="eastAsia" w:ascii="方正小标宋简体" w:hAnsi="方正小标宋简体" w:eastAsia="方正小标宋简体" w:cs="方正小标宋简体"/>
          <w:color w:val="auto"/>
          <w:sz w:val="28"/>
          <w:szCs w:val="28"/>
        </w:rPr>
        <w:t>报价邀请函</w:t>
      </w:r>
    </w:p>
    <w:p>
      <w:pPr>
        <w:widowControl/>
        <w:autoSpaceDN w:val="0"/>
        <w:rPr>
          <w:rFonts w:ascii="仿宋_GB2312" w:eastAsia="仿宋_GB2312" w:cs="仿宋_GB2312"/>
          <w:spacing w:val="-6"/>
          <w:kern w:val="0"/>
          <w:sz w:val="28"/>
          <w:szCs w:val="28"/>
        </w:rPr>
      </w:pPr>
      <w:r>
        <w:rPr>
          <w:rFonts w:hint="eastAsia" w:ascii="仿宋_GB2312" w:hAnsi="宋体" w:eastAsia="仿宋_GB2312" w:cs="仿宋_GB2312"/>
          <w:spacing w:val="-6"/>
          <w:kern w:val="0"/>
          <w:sz w:val="28"/>
          <w:szCs w:val="28"/>
        </w:rPr>
        <w:t>各报价单位：</w:t>
      </w:r>
    </w:p>
    <w:p>
      <w:pPr>
        <w:keepNext w:val="0"/>
        <w:keepLines w:val="0"/>
        <w:pageBreakBefore w:val="0"/>
        <w:widowControl w:val="0"/>
        <w:tabs>
          <w:tab w:val="left" w:pos="360"/>
        </w:tabs>
        <w:kinsoku/>
        <w:wordWrap w:val="0"/>
        <w:overflowPunct/>
        <w:topLinePunct w:val="0"/>
        <w:autoSpaceDE/>
        <w:autoSpaceDN/>
        <w:bidi w:val="0"/>
        <w:adjustRightInd/>
        <w:snapToGrid/>
        <w:spacing w:line="5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现就</w:t>
      </w:r>
      <w:r>
        <w:rPr>
          <w:rFonts w:hint="eastAsia" w:ascii="仿宋_GB2312" w:hAnsi="仿宋_GB2312" w:eastAsia="仿宋_GB2312" w:cs="仿宋_GB2312"/>
          <w:sz w:val="28"/>
          <w:szCs w:val="28"/>
          <w:u w:val="single"/>
        </w:rPr>
        <w:t xml:space="preserve">日常养护及工程项目铝板、铝槽采购项目 </w:t>
      </w:r>
      <w:r>
        <w:rPr>
          <w:rFonts w:hint="eastAsia" w:ascii="仿宋_GB2312" w:hAnsi="仿宋_GB2312" w:eastAsia="仿宋_GB2312" w:cs="仿宋_GB2312"/>
          <w:sz w:val="28"/>
          <w:szCs w:val="28"/>
        </w:rPr>
        <w:t>邀请贵单位参与报价，请贵公司登陆优盟平台交易系统（</w:t>
      </w:r>
      <w:r>
        <w:rPr>
          <w:rFonts w:ascii="仿宋_GB2312" w:hAnsi="仿宋_GB2312" w:eastAsia="仿宋_GB2312" w:cs="仿宋_GB2312"/>
          <w:sz w:val="28"/>
          <w:szCs w:val="28"/>
        </w:rPr>
        <w:t>https://www.uoum.com.cn</w:t>
      </w:r>
      <w:r>
        <w:rPr>
          <w:rFonts w:hint="eastAsia" w:ascii="仿宋_GB2312" w:hAnsi="仿宋_GB2312" w:eastAsia="仿宋_GB2312" w:cs="仿宋_GB2312"/>
          <w:sz w:val="28"/>
          <w:szCs w:val="28"/>
        </w:rPr>
        <w:t>），根据本函相关要求通过优盟平台交易系统进行网上报价并上传相关报价文件。</w:t>
      </w:r>
    </w:p>
    <w:p>
      <w:pPr>
        <w:widowControl/>
        <w:wordWrap w:val="0"/>
        <w:autoSpaceDN w:val="0"/>
        <w:spacing w:line="520" w:lineRule="exact"/>
        <w:ind w:firstLine="560" w:firstLineChars="200"/>
        <w:rPr>
          <w:rFonts w:ascii="仿宋_GB2312" w:hAnsi="仿宋" w:eastAsia="仿宋_GB2312"/>
          <w:kern w:val="0"/>
          <w:sz w:val="28"/>
          <w:szCs w:val="28"/>
        </w:rPr>
      </w:pPr>
      <w:r>
        <w:rPr>
          <w:rFonts w:hint="eastAsia" w:ascii="仿宋_GB2312" w:hAnsi="仿宋" w:eastAsia="仿宋_GB2312"/>
          <w:kern w:val="0"/>
          <w:sz w:val="28"/>
          <w:szCs w:val="28"/>
        </w:rPr>
        <w:t>报价截止时间为</w:t>
      </w:r>
      <w:r>
        <w:rPr>
          <w:rFonts w:ascii="仿宋_GB2312" w:hAnsi="仿宋" w:eastAsia="仿宋_GB2312"/>
          <w:b/>
          <w:bCs/>
          <w:kern w:val="0"/>
          <w:sz w:val="28"/>
          <w:szCs w:val="28"/>
        </w:rPr>
        <w:t>202</w:t>
      </w:r>
      <w:r>
        <w:rPr>
          <w:rFonts w:hint="eastAsia" w:ascii="仿宋_GB2312" w:hAnsi="仿宋" w:eastAsia="仿宋_GB2312"/>
          <w:b/>
          <w:bCs/>
          <w:kern w:val="0"/>
          <w:sz w:val="28"/>
          <w:szCs w:val="28"/>
          <w:lang w:val="en-US" w:eastAsia="zh-CN"/>
        </w:rPr>
        <w:t>6</w:t>
      </w:r>
      <w:r>
        <w:rPr>
          <w:rFonts w:hint="eastAsia" w:ascii="仿宋_GB2312" w:hAnsi="仿宋" w:eastAsia="仿宋_GB2312"/>
          <w:b/>
          <w:bCs/>
          <w:kern w:val="0"/>
          <w:sz w:val="28"/>
          <w:szCs w:val="28"/>
        </w:rPr>
        <w:t>年</w:t>
      </w:r>
      <w:r>
        <w:rPr>
          <w:rFonts w:hint="eastAsia" w:ascii="仿宋_GB2312" w:hAnsi="仿宋" w:eastAsia="仿宋_GB2312"/>
          <w:b/>
          <w:bCs/>
          <w:kern w:val="0"/>
          <w:sz w:val="28"/>
          <w:szCs w:val="28"/>
          <w:lang w:val="en-US" w:eastAsia="zh-CN"/>
        </w:rPr>
        <w:t>08</w:t>
      </w:r>
      <w:r>
        <w:rPr>
          <w:rFonts w:hint="eastAsia" w:ascii="仿宋_GB2312" w:hAnsi="仿宋" w:eastAsia="仿宋_GB2312"/>
          <w:b/>
          <w:bCs/>
          <w:kern w:val="0"/>
          <w:sz w:val="28"/>
          <w:szCs w:val="28"/>
        </w:rPr>
        <w:t>月</w:t>
      </w:r>
      <w:r>
        <w:rPr>
          <w:rFonts w:hint="eastAsia" w:ascii="仿宋_GB2312" w:hAnsi="仿宋" w:eastAsia="仿宋_GB2312"/>
          <w:b/>
          <w:bCs/>
          <w:kern w:val="0"/>
          <w:sz w:val="28"/>
          <w:szCs w:val="28"/>
          <w:lang w:val="en-US" w:eastAsia="zh-CN"/>
        </w:rPr>
        <w:t>11</w:t>
      </w:r>
      <w:r>
        <w:rPr>
          <w:rFonts w:hint="eastAsia" w:ascii="仿宋_GB2312" w:hAnsi="仿宋" w:eastAsia="仿宋_GB2312"/>
          <w:b/>
          <w:bCs/>
          <w:kern w:val="0"/>
          <w:sz w:val="28"/>
          <w:szCs w:val="28"/>
        </w:rPr>
        <w:t>日（星期</w:t>
      </w:r>
      <w:r>
        <w:rPr>
          <w:rFonts w:hint="eastAsia" w:ascii="仿宋_GB2312" w:hAnsi="仿宋" w:eastAsia="仿宋_GB2312"/>
          <w:b/>
          <w:bCs/>
          <w:kern w:val="0"/>
          <w:sz w:val="28"/>
          <w:szCs w:val="28"/>
          <w:lang w:eastAsia="zh-CN"/>
        </w:rPr>
        <w:t>二</w:t>
      </w:r>
      <w:r>
        <w:rPr>
          <w:rFonts w:hint="eastAsia" w:ascii="仿宋_GB2312" w:hAnsi="仿宋" w:eastAsia="仿宋_GB2312"/>
          <w:b/>
          <w:bCs/>
          <w:kern w:val="0"/>
          <w:sz w:val="28"/>
          <w:szCs w:val="28"/>
        </w:rPr>
        <w:t>）</w:t>
      </w:r>
      <w:r>
        <w:rPr>
          <w:rFonts w:ascii="仿宋_GB2312" w:hAnsi="仿宋" w:eastAsia="仿宋_GB2312"/>
          <w:b/>
          <w:bCs/>
          <w:kern w:val="0"/>
          <w:sz w:val="28"/>
          <w:szCs w:val="28"/>
        </w:rPr>
        <w:t>1</w:t>
      </w:r>
      <w:r>
        <w:rPr>
          <w:rFonts w:hint="eastAsia" w:ascii="仿宋_GB2312" w:hAnsi="仿宋" w:eastAsia="仿宋_GB2312"/>
          <w:b/>
          <w:bCs/>
          <w:kern w:val="0"/>
          <w:sz w:val="28"/>
          <w:szCs w:val="28"/>
          <w:lang w:val="en-US" w:eastAsia="zh-CN"/>
        </w:rPr>
        <w:t>6</w:t>
      </w:r>
      <w:r>
        <w:rPr>
          <w:rFonts w:ascii="仿宋_GB2312" w:hAnsi="仿宋" w:eastAsia="仿宋_GB2312"/>
          <w:b/>
          <w:bCs/>
          <w:kern w:val="0"/>
          <w:sz w:val="28"/>
          <w:szCs w:val="28"/>
        </w:rPr>
        <w:t>:</w:t>
      </w:r>
      <w:r>
        <w:rPr>
          <w:rFonts w:hint="eastAsia" w:ascii="仿宋_GB2312" w:hAnsi="仿宋" w:eastAsia="仿宋_GB2312"/>
          <w:b/>
          <w:bCs/>
          <w:kern w:val="0"/>
          <w:sz w:val="28"/>
          <w:szCs w:val="28"/>
          <w:lang w:val="en-US" w:eastAsia="zh-CN"/>
        </w:rPr>
        <w:t>3</w:t>
      </w:r>
      <w:r>
        <w:rPr>
          <w:rFonts w:ascii="仿宋_GB2312" w:hAnsi="仿宋" w:eastAsia="仿宋_GB2312"/>
          <w:b/>
          <w:bCs/>
          <w:kern w:val="0"/>
          <w:sz w:val="28"/>
          <w:szCs w:val="28"/>
        </w:rPr>
        <w:t>0</w:t>
      </w:r>
      <w:r>
        <w:rPr>
          <w:rFonts w:hint="eastAsia" w:ascii="仿宋_GB2312" w:hAnsi="仿宋" w:eastAsia="仿宋_GB2312"/>
          <w:b/>
          <w:bCs/>
          <w:kern w:val="0"/>
          <w:sz w:val="28"/>
          <w:szCs w:val="28"/>
        </w:rPr>
        <w:t>（具体以优盟平台交易系统的时间为准）</w:t>
      </w:r>
      <w:r>
        <w:rPr>
          <w:rFonts w:hint="eastAsia" w:ascii="仿宋_GB2312" w:hAnsi="仿宋" w:eastAsia="仿宋_GB2312"/>
          <w:kern w:val="0"/>
          <w:sz w:val="28"/>
          <w:szCs w:val="28"/>
        </w:rPr>
        <w:t>，截止时间后，不再接收任何报价。</w:t>
      </w:r>
    </w:p>
    <w:p>
      <w:pPr>
        <w:keepNext w:val="0"/>
        <w:keepLines w:val="0"/>
        <w:pageBreakBefore w:val="0"/>
        <w:widowControl/>
        <w:numPr>
          <w:ilvl w:val="0"/>
          <w:numId w:val="0"/>
        </w:numPr>
        <w:kinsoku/>
        <w:wordWrap w:val="0"/>
        <w:overflowPunct/>
        <w:topLinePunct w:val="0"/>
        <w:autoSpaceDE/>
        <w:autoSpaceDN w:val="0"/>
        <w:bidi w:val="0"/>
        <w:adjustRightInd/>
        <w:snapToGrid/>
        <w:spacing w:line="520" w:lineRule="exact"/>
        <w:ind w:firstLine="560" w:firstLineChars="200"/>
        <w:textAlignment w:val="auto"/>
        <w:rPr>
          <w:rFonts w:hint="eastAsia" w:ascii="仿宋_GB2312" w:hAnsi="仿宋_GB2312" w:eastAsia="仿宋_GB2312" w:cs="仿宋_GB2312"/>
          <w:b/>
          <w:bCs/>
          <w:kern w:val="0"/>
          <w:sz w:val="28"/>
          <w:szCs w:val="28"/>
        </w:rPr>
      </w:pPr>
      <w:r>
        <w:rPr>
          <w:rFonts w:hint="eastAsia" w:ascii="仿宋_GB2312" w:hAnsi="仿宋" w:eastAsia="仿宋_GB2312"/>
          <w:kern w:val="0"/>
          <w:sz w:val="28"/>
          <w:szCs w:val="28"/>
        </w:rPr>
        <w:t>优盟平台交易系统具体操作方式详见“优盟平台首页</w:t>
      </w:r>
      <w:r>
        <w:rPr>
          <w:rFonts w:ascii="仿宋_GB2312" w:hAnsi="仿宋" w:eastAsia="仿宋_GB2312"/>
          <w:kern w:val="0"/>
          <w:sz w:val="28"/>
          <w:szCs w:val="28"/>
        </w:rPr>
        <w:t>-</w:t>
      </w:r>
      <w:r>
        <w:rPr>
          <w:rFonts w:hint="eastAsia" w:ascii="仿宋_GB2312" w:hAnsi="仿宋" w:eastAsia="仿宋_GB2312"/>
          <w:kern w:val="0"/>
          <w:sz w:val="28"/>
          <w:szCs w:val="28"/>
        </w:rPr>
        <w:t>平台资迅</w:t>
      </w:r>
      <w:r>
        <w:rPr>
          <w:rFonts w:ascii="仿宋_GB2312" w:hAnsi="仿宋" w:eastAsia="仿宋_GB2312"/>
          <w:kern w:val="0"/>
          <w:sz w:val="28"/>
          <w:szCs w:val="28"/>
        </w:rPr>
        <w:t>-</w:t>
      </w:r>
      <w:r>
        <w:rPr>
          <w:rFonts w:hint="eastAsia" w:ascii="仿宋_GB2312" w:hAnsi="仿宋" w:eastAsia="仿宋_GB2312"/>
          <w:kern w:val="0"/>
          <w:sz w:val="28"/>
          <w:szCs w:val="28"/>
        </w:rPr>
        <w:t>优盟平台会员入驻操作手册”。如有网上平台操作疑问可咨询：</w:t>
      </w:r>
      <w:r>
        <w:rPr>
          <w:rFonts w:hint="eastAsia" w:ascii="仿宋_GB2312" w:hAnsi="仿宋_GB2312" w:eastAsia="仿宋_GB2312" w:cs="仿宋_GB2312"/>
          <w:kern w:val="0"/>
          <w:sz w:val="28"/>
          <w:szCs w:val="28"/>
        </w:rPr>
        <w:t>优盟平台0757-22667053</w:t>
      </w:r>
    </w:p>
    <w:p>
      <w:pPr>
        <w:numPr>
          <w:ilvl w:val="0"/>
          <w:numId w:val="0"/>
        </w:numPr>
        <w:spacing w:line="360" w:lineRule="auto"/>
        <w:rPr>
          <w:rFonts w:ascii="黑体" w:hAnsi="黑体" w:eastAsia="黑体" w:cs="黑体"/>
          <w:b/>
          <w:bCs/>
          <w:sz w:val="28"/>
          <w:szCs w:val="28"/>
        </w:rPr>
      </w:pPr>
      <w:r>
        <w:rPr>
          <w:rFonts w:hint="eastAsia" w:ascii="黑体" w:hAnsi="黑体" w:eastAsia="黑体" w:cs="黑体"/>
          <w:b/>
          <w:bCs/>
          <w:sz w:val="28"/>
          <w:szCs w:val="28"/>
          <w:lang w:eastAsia="zh-CN"/>
        </w:rPr>
        <w:t>一、</w:t>
      </w:r>
      <w:r>
        <w:rPr>
          <w:rFonts w:hint="eastAsia" w:ascii="黑体" w:hAnsi="黑体" w:eastAsia="黑体" w:cs="黑体"/>
          <w:b/>
          <w:bCs/>
          <w:sz w:val="28"/>
          <w:szCs w:val="28"/>
        </w:rPr>
        <w:t>项目名称</w:t>
      </w:r>
      <w:bookmarkStart w:id="6" w:name="_GoBack"/>
      <w:bookmarkEnd w:id="6"/>
    </w:p>
    <w:p>
      <w:p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日常养护及工程项目铝板、铝槽采购项目 </w:t>
      </w:r>
    </w:p>
    <w:p>
      <w:pPr>
        <w:spacing w:line="360" w:lineRule="auto"/>
        <w:rPr>
          <w:rFonts w:ascii="黑体" w:hAnsi="黑体" w:eastAsia="黑体" w:cs="黑体"/>
          <w:b/>
          <w:bCs/>
          <w:sz w:val="28"/>
          <w:szCs w:val="28"/>
        </w:rPr>
      </w:pPr>
      <w:r>
        <w:rPr>
          <w:rFonts w:hint="eastAsia" w:ascii="黑体" w:hAnsi="黑体" w:eastAsia="黑体" w:cs="黑体"/>
          <w:b/>
          <w:bCs/>
          <w:sz w:val="28"/>
          <w:szCs w:val="28"/>
        </w:rPr>
        <w:t>二、项目概况</w:t>
      </w:r>
    </w:p>
    <w:p>
      <w:pPr>
        <w:tabs>
          <w:tab w:val="left" w:pos="360"/>
        </w:tabs>
        <w:ind w:firstLine="560" w:firstLineChars="200"/>
        <w:rPr>
          <w:rFonts w:hint="eastAsia" w:ascii="仿宋_GB2312" w:hAnsi="仿宋_GB2312" w:eastAsia="仿宋_GB2312" w:cs="仿宋_GB2312"/>
          <w:b/>
          <w:bCs/>
          <w:sz w:val="28"/>
          <w:szCs w:val="28"/>
          <w:lang w:val="en-US" w:eastAsia="zh-CN"/>
        </w:rPr>
      </w:pPr>
      <w:r>
        <w:rPr>
          <w:rFonts w:hint="eastAsia" w:ascii="仿宋" w:hAnsi="仿宋" w:eastAsia="仿宋" w:cs="仿宋"/>
          <w:sz w:val="28"/>
          <w:szCs w:val="28"/>
        </w:rPr>
        <w:t>根据日常养护工作需要，现需采购铝板、铝槽一批</w:t>
      </w:r>
      <w:r>
        <w:rPr>
          <w:rFonts w:hint="eastAsia" w:ascii="仿宋_GB2312" w:hAnsi="仿宋_GB2312" w:eastAsia="仿宋_GB2312" w:cs="仿宋_GB2312"/>
          <w:kern w:val="0"/>
          <w:sz w:val="28"/>
          <w:szCs w:val="28"/>
          <w:lang w:val="en-US" w:eastAsia="zh-CN"/>
        </w:rPr>
        <w:t>，项目含税总价159,291.56元</w:t>
      </w:r>
      <w:r>
        <w:rPr>
          <w:rFonts w:hint="eastAsia" w:ascii="仿宋_GB2312" w:hAnsi="仿宋_GB2312" w:eastAsia="仿宋_GB2312" w:cs="仿宋_GB2312"/>
          <w:sz w:val="28"/>
          <w:szCs w:val="28"/>
        </w:rPr>
        <w:t>。</w:t>
      </w:r>
      <w:r>
        <w:rPr>
          <w:rFonts w:hint="eastAsia" w:ascii="仿宋_GB2312" w:hAnsi="仿宋_GB2312" w:eastAsia="仿宋_GB2312" w:cs="仿宋_GB2312"/>
          <w:spacing w:val="-6"/>
          <w:kern w:val="0"/>
          <w:sz w:val="28"/>
          <w:szCs w:val="28"/>
        </w:rPr>
        <w:t>具体采购内容详见本函“三、采购内容”，最终以委托单位实际采购数量按实结算。</w:t>
      </w:r>
    </w:p>
    <w:p>
      <w:pPr>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CN"/>
        </w:rPr>
      </w:pPr>
      <w:r>
        <w:rPr>
          <w:rFonts w:hint="eastAsia" w:ascii="黑体" w:hAnsi="黑体" w:eastAsia="黑体" w:cs="黑体"/>
          <w:b/>
          <w:bCs/>
          <w:sz w:val="28"/>
          <w:szCs w:val="28"/>
          <w:lang w:val="en-US" w:eastAsia="zh-CN"/>
        </w:rPr>
        <w:t>三、采购内容</w:t>
      </w:r>
    </w:p>
    <w:tbl>
      <w:tblPr>
        <w:tblStyle w:val="13"/>
        <w:tblpPr w:leftFromText="180" w:rightFromText="180" w:vertAnchor="text" w:horzAnchor="page" w:tblpX="1316" w:tblpY="55"/>
        <w:tblOverlap w:val="never"/>
        <w:tblW w:w="9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75"/>
        <w:gridCol w:w="2562"/>
        <w:gridCol w:w="2289"/>
        <w:gridCol w:w="69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15"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序号</w:t>
            </w:r>
          </w:p>
        </w:tc>
        <w:tc>
          <w:tcPr>
            <w:tcW w:w="1675"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rPr>
              <w:t>采购内容</w:t>
            </w:r>
          </w:p>
        </w:tc>
        <w:tc>
          <w:tcPr>
            <w:tcW w:w="2562"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规格型号</w:t>
            </w:r>
          </w:p>
        </w:tc>
        <w:tc>
          <w:tcPr>
            <w:tcW w:w="2289"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执行标准</w:t>
            </w:r>
          </w:p>
        </w:tc>
        <w:tc>
          <w:tcPr>
            <w:tcW w:w="69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lang w:eastAsia="zh-CN"/>
              </w:rPr>
              <w:t>单位</w:t>
            </w:r>
          </w:p>
        </w:tc>
        <w:tc>
          <w:tcPr>
            <w:tcW w:w="1403"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lang w:eastAsia="zh-CN"/>
              </w:rPr>
              <w:t>参考数量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715"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w:t>
            </w:r>
          </w:p>
        </w:tc>
        <w:tc>
          <w:tcPr>
            <w:tcW w:w="1675" w:type="dxa"/>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239" w:leftChars="0" w:right="0"/>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3003-</w:t>
            </w:r>
            <w:r>
              <w:rPr>
                <w:rFonts w:hint="eastAsia" w:ascii="仿宋_GB2312" w:hAnsi="仿宋_GB2312" w:eastAsia="仿宋_GB2312" w:cs="仿宋_GB2312"/>
                <w:sz w:val="28"/>
                <w:szCs w:val="28"/>
              </w:rPr>
              <w:t xml:space="preserve">H24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rPr>
              <w:t>铝板</w:t>
            </w:r>
            <w:r>
              <w:rPr>
                <w:rFonts w:hint="eastAsia" w:ascii="仿宋_GB2312" w:hAnsi="仿宋_GB2312" w:eastAsia="仿宋_GB2312" w:cs="仿宋_GB2312"/>
                <w:b w:val="0"/>
                <w:bCs/>
                <w:sz w:val="28"/>
                <w:szCs w:val="28"/>
                <w:lang w:val="en-US" w:eastAsia="zh-CN"/>
              </w:rPr>
              <w:t>（国标）</w:t>
            </w:r>
          </w:p>
        </w:tc>
        <w:tc>
          <w:tcPr>
            <w:tcW w:w="256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rPr>
              <w:t>长 2500mm× 宽 1600mm× 厚 2.35mm</w:t>
            </w:r>
          </w:p>
        </w:tc>
        <w:tc>
          <w:tcPr>
            <w:tcW w:w="2289"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rPr>
              <w:t>GB/T 3190、GB/T 22638</w:t>
            </w:r>
          </w:p>
        </w:tc>
        <w:tc>
          <w:tcPr>
            <w:tcW w:w="690"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块</w:t>
            </w:r>
          </w:p>
        </w:tc>
        <w:tc>
          <w:tcPr>
            <w:tcW w:w="1403"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715" w:type="dxa"/>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w:t>
            </w:r>
          </w:p>
        </w:tc>
        <w:tc>
          <w:tcPr>
            <w:tcW w:w="167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6063-T5 </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铝槽（国标）</w:t>
            </w:r>
          </w:p>
        </w:tc>
        <w:tc>
          <w:tcPr>
            <w:tcW w:w="256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rPr>
              <w:t>65#，长 6000mm，壁厚 2.5mm</w:t>
            </w:r>
          </w:p>
        </w:tc>
        <w:tc>
          <w:tcPr>
            <w:tcW w:w="2289"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sz w:val="28"/>
                <w:szCs w:val="28"/>
              </w:rPr>
              <w:t>GB/T</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5237.1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6</w:t>
            </w:r>
          </w:p>
        </w:tc>
        <w:tc>
          <w:tcPr>
            <w:tcW w:w="690"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条</w:t>
            </w:r>
          </w:p>
        </w:tc>
        <w:tc>
          <w:tcPr>
            <w:tcW w:w="1403"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4952" w:type="dxa"/>
            <w:gridSpan w:val="3"/>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sz w:val="28"/>
                <w:szCs w:val="28"/>
                <w:lang w:val="en-US"/>
              </w:rPr>
            </w:pPr>
            <w:r>
              <w:rPr>
                <w:rFonts w:hint="eastAsia" w:ascii="仿宋_GB2312" w:hAnsi="仿宋_GB2312" w:eastAsia="仿宋_GB2312" w:cs="仿宋_GB2312"/>
                <w:b w:val="0"/>
                <w:bCs/>
                <w:sz w:val="28"/>
                <w:szCs w:val="28"/>
                <w:lang w:val="en-US" w:eastAsia="zh-CN"/>
              </w:rPr>
              <w:t>铝板照片</w:t>
            </w:r>
          </w:p>
        </w:tc>
        <w:tc>
          <w:tcPr>
            <w:tcW w:w="4382" w:type="dxa"/>
            <w:gridSpan w:val="3"/>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铝槽照片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4952" w:type="dxa"/>
            <w:gridSpan w:val="3"/>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710815" cy="2223770"/>
                  <wp:effectExtent l="0" t="0" r="13335" b="5080"/>
                  <wp:docPr id="4" name="图片 4" descr="铝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铝板"/>
                          <pic:cNvPicPr>
                            <a:picLocks noChangeAspect="1"/>
                          </pic:cNvPicPr>
                        </pic:nvPicPr>
                        <pic:blipFill>
                          <a:blip r:embed="rId5"/>
                          <a:stretch>
                            <a:fillRect/>
                          </a:stretch>
                        </pic:blipFill>
                        <pic:spPr>
                          <a:xfrm>
                            <a:off x="0" y="0"/>
                            <a:ext cx="2710815" cy="2223770"/>
                          </a:xfrm>
                          <a:prstGeom prst="rect">
                            <a:avLst/>
                          </a:prstGeom>
                        </pic:spPr>
                      </pic:pic>
                    </a:graphicData>
                  </a:graphic>
                </wp:inline>
              </w:drawing>
            </w:r>
          </w:p>
        </w:tc>
        <w:tc>
          <w:tcPr>
            <w:tcW w:w="4382" w:type="dxa"/>
            <w:gridSpan w:val="3"/>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cs="宋体"/>
                <w:b w:val="0"/>
                <w:bCs/>
                <w:sz w:val="24"/>
                <w:szCs w:val="24"/>
                <w:lang w:val="en-US" w:eastAsia="zh-CN"/>
              </w:rPr>
            </w:pPr>
            <w:r>
              <w:rPr>
                <w:rFonts w:hint="eastAsia" w:ascii="宋体" w:hAnsi="宋体" w:cs="宋体"/>
                <w:b w:val="0"/>
                <w:bCs/>
                <w:sz w:val="24"/>
                <w:szCs w:val="24"/>
                <w:lang w:val="en-US" w:eastAsia="zh-CN"/>
              </w:rPr>
              <w:drawing>
                <wp:inline distT="0" distB="0" distL="114300" distR="114300">
                  <wp:extent cx="2940050" cy="2397125"/>
                  <wp:effectExtent l="0" t="0" r="12700" b="3175"/>
                  <wp:docPr id="3" name="图片 3" descr="铝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铝槽"/>
                          <pic:cNvPicPr>
                            <a:picLocks noChangeAspect="1"/>
                          </pic:cNvPicPr>
                        </pic:nvPicPr>
                        <pic:blipFill>
                          <a:blip r:embed="rId6"/>
                          <a:stretch>
                            <a:fillRect/>
                          </a:stretch>
                        </pic:blipFill>
                        <pic:spPr>
                          <a:xfrm>
                            <a:off x="0" y="0"/>
                            <a:ext cx="2940050" cy="2397125"/>
                          </a:xfrm>
                          <a:prstGeom prst="rect">
                            <a:avLst/>
                          </a:prstGeom>
                        </pic:spPr>
                      </pic:pic>
                    </a:graphicData>
                  </a:graphic>
                </wp:inline>
              </w:drawing>
            </w:r>
          </w:p>
        </w:tc>
      </w:tr>
    </w:tbl>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四</w:t>
      </w:r>
      <w:r>
        <w:rPr>
          <w:rFonts w:hint="eastAsia" w:ascii="黑体" w:hAnsi="黑体" w:eastAsia="黑体" w:cs="黑体"/>
          <w:b/>
          <w:bCs/>
          <w:sz w:val="28"/>
          <w:szCs w:val="28"/>
          <w:lang w:eastAsia="zh-CN"/>
        </w:rPr>
        <w:t>、服务期限</w:t>
      </w:r>
    </w:p>
    <w:p>
      <w:pPr>
        <w:spacing w:line="360" w:lineRule="auto"/>
        <w:ind w:firstLine="560" w:firstLineChars="200"/>
        <w:rPr>
          <w:rFonts w:ascii="仿宋" w:hAnsi="仿宋" w:eastAsia="仿宋" w:cs="仿宋"/>
          <w:sz w:val="28"/>
          <w:szCs w:val="28"/>
        </w:rPr>
      </w:pPr>
      <w:r>
        <w:rPr>
          <w:rFonts w:hint="eastAsia" w:ascii="仿宋" w:hAnsi="仿宋" w:eastAsia="仿宋" w:cs="仿宋"/>
          <w:color w:val="auto"/>
          <w:sz w:val="28"/>
          <w:szCs w:val="28"/>
        </w:rPr>
        <w:t>自合同签订生效之日起30个日历天。合同签订生效后中选单位按委托单位发出的发货通知书期限发货（以委托单位确认为准）</w:t>
      </w:r>
      <w:r>
        <w:rPr>
          <w:rFonts w:hint="eastAsia" w:ascii="仿宋" w:hAnsi="仿宋" w:eastAsia="仿宋" w:cs="仿宋"/>
          <w:sz w:val="28"/>
          <w:szCs w:val="28"/>
        </w:rPr>
        <w:t>。</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sz w:val="28"/>
          <w:szCs w:val="28"/>
          <w:lang w:val="en-US" w:eastAsia="zh-CN"/>
        </w:rPr>
        <w:t>五</w:t>
      </w:r>
      <w:r>
        <w:rPr>
          <w:rFonts w:hint="eastAsia" w:ascii="黑体" w:hAnsi="黑体" w:eastAsia="黑体" w:cs="黑体"/>
          <w:b/>
          <w:bCs/>
          <w:sz w:val="28"/>
          <w:szCs w:val="28"/>
          <w:lang w:eastAsia="zh-CN"/>
        </w:rPr>
        <w:t>、资格要求</w:t>
      </w:r>
    </w:p>
    <w:p>
      <w:pPr>
        <w:numPr>
          <w:ilvl w:val="0"/>
          <w:numId w:val="1"/>
        </w:numPr>
        <w:ind w:firstLine="560" w:firstLineChars="200"/>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报价单位营业执照具有本次采购项目的相关经营范围。</w:t>
      </w:r>
    </w:p>
    <w:p>
      <w:pPr>
        <w:numPr>
          <w:ilvl w:val="0"/>
          <w:numId w:val="0"/>
        </w:numPr>
        <w:ind w:firstLine="560" w:firstLineChars="200"/>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2、报价单位在“信用中国”网站（http://www.creditchina.gov.cn/)未被列入失信被执行人或重大税收违法案件当事人的名单中，否则报价无效。</w:t>
      </w:r>
    </w:p>
    <w:p>
      <w:pPr>
        <w:numPr>
          <w:ilvl w:val="0"/>
          <w:numId w:val="0"/>
        </w:numPr>
        <w:rPr>
          <w:rFonts w:hint="eastAsia" w:ascii="黑体" w:hAnsi="黑体" w:eastAsia="黑体" w:cs="黑体"/>
          <w:b/>
          <w:bCs/>
          <w:sz w:val="28"/>
          <w:szCs w:val="28"/>
        </w:rPr>
      </w:pPr>
      <w:r>
        <w:rPr>
          <w:rFonts w:hint="eastAsia" w:ascii="黑体" w:hAnsi="黑体" w:eastAsia="黑体" w:cs="黑体"/>
          <w:b/>
          <w:bCs/>
          <w:sz w:val="28"/>
          <w:szCs w:val="28"/>
          <w:lang w:eastAsia="zh-CN"/>
        </w:rPr>
        <w:t>六、供货</w:t>
      </w:r>
      <w:r>
        <w:rPr>
          <w:rFonts w:hint="eastAsia" w:ascii="黑体" w:hAnsi="黑体" w:eastAsia="黑体" w:cs="黑体"/>
          <w:b/>
          <w:bCs/>
          <w:sz w:val="28"/>
          <w:szCs w:val="28"/>
        </w:rPr>
        <w:t>要求</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1、交货要求</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1）具体分批供货数量、交货时间以委托单位发出的发货通知书为准。（本次采购数量为预估量，实际供货数量以委托单位通知为准。中选单位须无条件接受实际采购数量的调整，且不得因数量减少而提出价格调整、利润补偿或索赔要求）委托单位必须于书面发货通知书确定的交货时间前 3日向中选单位发出书面发货通知书，该通知书应包含交货时间、交货地点、产品规格、交货数量。如中选单位不按发货通知书的要求交货的，则委托单位有权拒收。书面通知书形式包括但不限于信件、传真、电子邮件或手机短信、微信、QQ等。</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（2）运输方式：中选单位负责将货物送至委托单位指定交货地点（佛山市顺德区内），运费（含装卸费、搬运费等）由中选单位负担。</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（3）在货物正式移交给委托单位并经委托单位签</w:t>
      </w:r>
      <w:r>
        <w:rPr>
          <w:rFonts w:hint="eastAsia" w:ascii="仿宋_GB2312" w:hAnsi="仿宋_GB2312" w:eastAsia="仿宋_GB2312" w:cs="仿宋_GB2312"/>
          <w:spacing w:val="-6"/>
          <w:kern w:val="0"/>
          <w:sz w:val="28"/>
          <w:szCs w:val="28"/>
          <w:lang w:eastAsia="zh-CN"/>
        </w:rPr>
        <w:t>收</w:t>
      </w:r>
      <w:r>
        <w:rPr>
          <w:rFonts w:hint="eastAsia" w:ascii="仿宋_GB2312" w:hAnsi="仿宋_GB2312" w:eastAsia="仿宋_GB2312" w:cs="仿宋_GB2312"/>
          <w:spacing w:val="-6"/>
          <w:kern w:val="0"/>
          <w:sz w:val="28"/>
          <w:szCs w:val="28"/>
        </w:rPr>
        <w:t>之前，所发生的一切费用和风险由中选单位负担。</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(4)除得到委托单位书面同意外，中选单位没有按供货要求完成供货的，则可视为供货违约，委托单位可按签订的合同中扣罚标准在当次供货款内给予扣款处罚。</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(5)当中选单位无法供应委托单位所需货物时，委托单位有权采取紧急措施，削减合同数量并由第三方供应商直接提供所缺部分货物，中选单位无权提出异议。</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(6)货物在进场签收后，亦不代表中选单位可以免除责任，如发生第三方现场抽检检测不合格时，中选单位需协助处理，并赔偿委托单位由此造成的相应损失。</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2、验收标准：</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（1）首次供货前中选单位须免费提供符合要求的材料样板，得到委托单位认可后按此样板供货。</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（2）货物为原制造商制造的全新产品，无污染，无侵权行为、表面无划损、无任何缺陷隐患，在中国境内可依规安全合法使用。</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3）中选单位提供的任意货物必须符合国家、广东省、佛山市、顺德区相关法律法规的要求和行业现行的与本合同项目有关的规定、技术规范和验收标准，达到合格验收标准及以下标准：①双方约定的质量标准。②该产品所适用的国家标准（强制性或推荐性标准）、行业标准、地方标准、生产企业标准。</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（4）委托单位和中选单位双方验收无误后，双方均须在验收文件上签名确认。</w:t>
      </w:r>
    </w:p>
    <w:p>
      <w:pPr>
        <w:pStyle w:val="4"/>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（5）中选单位所供的货物必须具备出厂合格证。</w:t>
      </w:r>
    </w:p>
    <w:p>
      <w:pPr>
        <w:pStyle w:val="4"/>
        <w:spacing w:line="360" w:lineRule="auto"/>
        <w:ind w:firstLine="536" w:firstLineChars="200"/>
        <w:rPr>
          <w:rFonts w:hint="eastAsia" w:ascii="仿宋_GB2312" w:hAnsi="仿宋_GB2312" w:eastAsia="仿宋_GB2312" w:cs="仿宋_GB2312"/>
          <w:spacing w:val="-6"/>
          <w:kern w:val="0"/>
          <w:sz w:val="28"/>
          <w:szCs w:val="28"/>
          <w:lang w:val="en-US" w:eastAsia="zh-CN"/>
        </w:rPr>
      </w:pPr>
      <w:r>
        <w:rPr>
          <w:rFonts w:hint="eastAsia" w:ascii="仿宋_GB2312" w:hAnsi="仿宋_GB2312" w:eastAsia="仿宋_GB2312" w:cs="仿宋_GB2312"/>
          <w:spacing w:val="-6"/>
          <w:kern w:val="0"/>
          <w:sz w:val="28"/>
          <w:szCs w:val="28"/>
          <w:lang w:val="en-US" w:eastAsia="zh-CN"/>
        </w:rPr>
        <w:t>3</w:t>
      </w:r>
      <w:r>
        <w:rPr>
          <w:rFonts w:hint="eastAsia" w:ascii="仿宋_GB2312" w:hAnsi="仿宋_GB2312" w:eastAsia="仿宋_GB2312" w:cs="仿宋_GB2312"/>
          <w:spacing w:val="-6"/>
          <w:kern w:val="0"/>
          <w:sz w:val="28"/>
          <w:szCs w:val="28"/>
        </w:rPr>
        <w:t>、</w:t>
      </w:r>
      <w:r>
        <w:rPr>
          <w:rFonts w:hint="eastAsia" w:ascii="仿宋" w:hAnsi="仿宋" w:eastAsia="仿宋" w:cs="仿宋"/>
          <w:spacing w:val="-6"/>
          <w:sz w:val="28"/>
          <w:szCs w:val="28"/>
        </w:rPr>
        <w:t>质量保证期</w:t>
      </w:r>
    </w:p>
    <w:p>
      <w:pPr>
        <w:pStyle w:val="4"/>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ascii="仿宋" w:hAnsi="仿宋" w:eastAsia="仿宋" w:cs="仿宋"/>
          <w:spacing w:val="-6"/>
          <w:sz w:val="28"/>
          <w:szCs w:val="28"/>
        </w:rPr>
      </w:pPr>
      <w:r>
        <w:rPr>
          <w:rFonts w:hint="eastAsia" w:ascii="仿宋" w:hAnsi="仿宋" w:eastAsia="仿宋" w:cs="仿宋"/>
          <w:spacing w:val="-6"/>
          <w:sz w:val="28"/>
          <w:szCs w:val="28"/>
        </w:rPr>
        <w:t>（1）质量保证期：</w:t>
      </w:r>
      <w:r>
        <w:rPr>
          <w:rFonts w:hint="eastAsia" w:ascii="仿宋" w:hAnsi="仿宋" w:eastAsia="仿宋" w:cs="仿宋"/>
          <w:spacing w:val="-6"/>
          <w:sz w:val="28"/>
          <w:szCs w:val="28"/>
          <w:lang w:val="en-US" w:eastAsia="zh-CN"/>
        </w:rPr>
        <w:t>24</w:t>
      </w:r>
      <w:r>
        <w:rPr>
          <w:rFonts w:hint="eastAsia" w:ascii="仿宋" w:hAnsi="仿宋" w:eastAsia="仿宋" w:cs="仿宋"/>
          <w:spacing w:val="-6"/>
          <w:sz w:val="28"/>
          <w:szCs w:val="28"/>
        </w:rPr>
        <w:t>个月（自</w:t>
      </w:r>
      <w:r>
        <w:rPr>
          <w:rFonts w:hint="eastAsia" w:ascii="仿宋" w:hAnsi="仿宋" w:eastAsia="仿宋" w:cs="仿宋"/>
          <w:spacing w:val="-6"/>
          <w:sz w:val="28"/>
          <w:szCs w:val="28"/>
          <w:lang w:eastAsia="zh-CN"/>
        </w:rPr>
        <w:t>交</w:t>
      </w:r>
      <w:r>
        <w:rPr>
          <w:rFonts w:hint="eastAsia" w:ascii="仿宋" w:hAnsi="仿宋" w:eastAsia="仿宋" w:cs="仿宋"/>
          <w:spacing w:val="-6"/>
          <w:sz w:val="28"/>
          <w:szCs w:val="28"/>
          <w:highlight w:val="none"/>
          <w:lang w:eastAsia="zh-CN"/>
        </w:rPr>
        <w:t>货</w:t>
      </w:r>
      <w:r>
        <w:rPr>
          <w:rFonts w:hint="eastAsia" w:ascii="仿宋" w:hAnsi="仿宋" w:eastAsia="仿宋" w:cs="仿宋"/>
          <w:spacing w:val="-6"/>
          <w:sz w:val="28"/>
          <w:szCs w:val="28"/>
          <w:highlight w:val="none"/>
        </w:rPr>
        <w:t>验收</w:t>
      </w:r>
      <w:r>
        <w:rPr>
          <w:rFonts w:hint="eastAsia" w:ascii="仿宋" w:hAnsi="仿宋" w:eastAsia="仿宋" w:cs="仿宋"/>
          <w:spacing w:val="-6"/>
          <w:sz w:val="28"/>
          <w:szCs w:val="28"/>
        </w:rPr>
        <w:t>之日起计算</w:t>
      </w:r>
      <w:r>
        <w:rPr>
          <w:rFonts w:hint="eastAsia" w:ascii="仿宋" w:hAnsi="仿宋" w:eastAsia="仿宋" w:cs="仿宋"/>
          <w:spacing w:val="-6"/>
          <w:sz w:val="28"/>
          <w:szCs w:val="28"/>
          <w:lang w:val="en-GB"/>
        </w:rPr>
        <w:t>。</w:t>
      </w:r>
      <w:r>
        <w:rPr>
          <w:rFonts w:hint="eastAsia" w:ascii="仿宋" w:hAnsi="仿宋" w:eastAsia="仿宋" w:cs="仿宋"/>
          <w:spacing w:val="-6"/>
          <w:sz w:val="28"/>
          <w:szCs w:val="28"/>
        </w:rPr>
        <w:t>若国家和/或生产厂家对本项目所涉及货物的质量保证期的规定高于本项目的要求，应按国家和/或生产厂家的规定执行）。</w:t>
      </w:r>
    </w:p>
    <w:p>
      <w:pPr>
        <w:pStyle w:val="4"/>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lang w:eastAsia="zh-CN"/>
        </w:rPr>
        <w:t>（</w:t>
      </w:r>
      <w:r>
        <w:rPr>
          <w:rFonts w:hint="eastAsia" w:ascii="仿宋_GB2312" w:hAnsi="仿宋_GB2312" w:eastAsia="仿宋_GB2312" w:cs="仿宋_GB2312"/>
          <w:spacing w:val="-6"/>
          <w:kern w:val="0"/>
          <w:sz w:val="28"/>
          <w:szCs w:val="28"/>
          <w:lang w:val="en-US" w:eastAsia="zh-CN"/>
        </w:rPr>
        <w:t>2）</w:t>
      </w:r>
      <w:r>
        <w:rPr>
          <w:rFonts w:hint="eastAsia" w:ascii="仿宋_GB2312" w:hAnsi="仿宋_GB2312" w:eastAsia="仿宋_GB2312" w:cs="仿宋_GB2312"/>
          <w:spacing w:val="-6"/>
          <w:kern w:val="0"/>
          <w:sz w:val="28"/>
          <w:szCs w:val="28"/>
          <w:lang w:eastAsia="zh-CN"/>
        </w:rPr>
        <w:t>在质保期内，凡出现货物质量问题，中选单位应无条件全面免费负责更换。中选单位须在委托单位发出通知之日起3天内对有问题的货物进行更换直到符合本项目约定的质量标准,中选单位应承担因此而产生的商检费、运输费、装卸费、保险费及仓储费等全部相关费用，均由中选单位自行承担。若由此给委托单位造成损失的，</w:t>
      </w:r>
      <w:r>
        <w:rPr>
          <w:rFonts w:hint="eastAsia" w:ascii="仿宋_GB2312" w:hAnsi="仿宋_GB2312" w:eastAsia="仿宋_GB2312" w:cs="仿宋_GB2312"/>
          <w:spacing w:val="-6"/>
          <w:sz w:val="28"/>
          <w:szCs w:val="28"/>
        </w:rPr>
        <w:t>按本</w:t>
      </w:r>
      <w:r>
        <w:rPr>
          <w:rFonts w:hint="eastAsia" w:ascii="仿宋_GB2312" w:hAnsi="仿宋_GB2312" w:eastAsia="仿宋_GB2312" w:cs="仿宋_GB2312"/>
          <w:spacing w:val="-6"/>
          <w:sz w:val="28"/>
          <w:szCs w:val="28"/>
          <w:lang w:eastAsia="zh-CN"/>
        </w:rPr>
        <w:t>函</w:t>
      </w:r>
      <w:r>
        <w:rPr>
          <w:rFonts w:hint="eastAsia" w:ascii="仿宋_GB2312" w:hAnsi="仿宋_GB2312" w:eastAsia="仿宋_GB2312" w:cs="仿宋_GB2312"/>
          <w:spacing w:val="-6"/>
          <w:sz w:val="28"/>
          <w:szCs w:val="28"/>
        </w:rPr>
        <w:t>第</w:t>
      </w:r>
      <w:r>
        <w:rPr>
          <w:rFonts w:hint="eastAsia" w:ascii="仿宋_GB2312" w:hAnsi="仿宋_GB2312" w:eastAsia="仿宋_GB2312" w:cs="仿宋_GB2312"/>
          <w:spacing w:val="-6"/>
          <w:sz w:val="28"/>
          <w:szCs w:val="28"/>
          <w:lang w:eastAsia="zh-CN"/>
        </w:rPr>
        <w:t>九</w:t>
      </w:r>
      <w:r>
        <w:rPr>
          <w:rFonts w:hint="eastAsia" w:ascii="仿宋_GB2312" w:hAnsi="仿宋_GB2312" w:eastAsia="仿宋_GB2312" w:cs="仿宋_GB2312"/>
          <w:spacing w:val="-6"/>
          <w:sz w:val="28"/>
          <w:szCs w:val="28"/>
        </w:rPr>
        <w:t>条第</w:t>
      </w:r>
      <w:r>
        <w:rPr>
          <w:rFonts w:hint="eastAsia" w:ascii="仿宋_GB2312" w:hAnsi="仿宋_GB2312" w:eastAsia="仿宋_GB2312" w:cs="仿宋_GB2312"/>
          <w:spacing w:val="-6"/>
          <w:sz w:val="28"/>
          <w:szCs w:val="28"/>
          <w:lang w:val="en-US" w:eastAsia="zh-CN"/>
        </w:rPr>
        <w:t>5点</w:t>
      </w:r>
      <w:r>
        <w:rPr>
          <w:rFonts w:hint="eastAsia" w:ascii="仿宋_GB2312" w:hAnsi="仿宋_GB2312" w:eastAsia="仿宋_GB2312" w:cs="仿宋_GB2312"/>
          <w:spacing w:val="-6"/>
          <w:sz w:val="28"/>
          <w:szCs w:val="28"/>
        </w:rPr>
        <w:t>约定由中选单位全额赔付</w:t>
      </w:r>
      <w:r>
        <w:rPr>
          <w:rFonts w:hint="eastAsia" w:ascii="仿宋_GB2312" w:hAnsi="仿宋_GB2312" w:eastAsia="仿宋_GB2312" w:cs="仿宋_GB2312"/>
          <w:spacing w:val="-6"/>
          <w:kern w:val="0"/>
          <w:sz w:val="28"/>
          <w:szCs w:val="28"/>
        </w:rPr>
        <w:t>。</w:t>
      </w:r>
    </w:p>
    <w:p>
      <w:pPr>
        <w:ind w:firstLine="536" w:firstLineChars="200"/>
        <w:rPr>
          <w:rFonts w:hint="eastAsia" w:ascii="仿宋_GB2312" w:hAnsi="仿宋_GB2312" w:eastAsia="仿宋_GB2312" w:cs="仿宋_GB2312"/>
          <w:spacing w:val="-6"/>
          <w:kern w:val="0"/>
          <w:sz w:val="28"/>
          <w:szCs w:val="28"/>
        </w:rPr>
      </w:pPr>
      <w:r>
        <w:rPr>
          <w:rFonts w:hint="eastAsia" w:ascii="仿宋" w:hAnsi="仿宋" w:eastAsia="仿宋" w:cs="仿宋"/>
          <w:spacing w:val="-6"/>
          <w:sz w:val="28"/>
          <w:szCs w:val="28"/>
        </w:rPr>
        <w:t>（3）任何时候，中选单位均不能免除因货物本身的缺陷所应负的责任</w:t>
      </w:r>
      <w:r>
        <w:rPr>
          <w:rFonts w:hint="eastAsia" w:ascii="仿宋_GB2312" w:hAnsi="仿宋_GB2312" w:eastAsia="仿宋_GB2312" w:cs="仿宋_GB2312"/>
          <w:spacing w:val="-6"/>
          <w:kern w:val="0"/>
          <w:sz w:val="28"/>
          <w:szCs w:val="28"/>
        </w:rPr>
        <w:t>。</w:t>
      </w:r>
    </w:p>
    <w:p>
      <w:pPr>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lang w:val="en-US" w:eastAsia="zh-CN"/>
        </w:rPr>
        <w:t>4、</w:t>
      </w:r>
      <w:r>
        <w:rPr>
          <w:rFonts w:hint="eastAsia" w:ascii="仿宋_GB2312" w:hAnsi="仿宋_GB2312" w:eastAsia="仿宋_GB2312" w:cs="仿宋_GB2312"/>
          <w:spacing w:val="-6"/>
          <w:kern w:val="0"/>
          <w:sz w:val="28"/>
          <w:szCs w:val="28"/>
        </w:rPr>
        <w:t>其余未尽事宜，以合同约定为准。</w:t>
      </w:r>
    </w:p>
    <w:p>
      <w:pPr>
        <w:numPr>
          <w:ilvl w:val="0"/>
          <w:numId w:val="0"/>
        </w:numPr>
        <w:rPr>
          <w:rFonts w:hint="eastAsia" w:ascii="黑体" w:hAnsi="黑体" w:eastAsia="黑体" w:cs="黑体"/>
          <w:b/>
          <w:bCs/>
          <w:color w:val="000000"/>
          <w:sz w:val="28"/>
          <w:szCs w:val="28"/>
        </w:rPr>
      </w:pPr>
      <w:r>
        <w:rPr>
          <w:rFonts w:hint="eastAsia" w:ascii="黑体" w:hAnsi="黑体" w:eastAsia="黑体" w:cs="黑体"/>
          <w:b/>
          <w:bCs/>
          <w:color w:val="000000"/>
          <w:sz w:val="28"/>
          <w:szCs w:val="28"/>
          <w:lang w:val="en-US" w:eastAsia="zh-CN"/>
        </w:rPr>
        <w:t>七、</w:t>
      </w:r>
      <w:r>
        <w:rPr>
          <w:rFonts w:hint="eastAsia" w:ascii="黑体" w:hAnsi="黑体" w:eastAsia="黑体" w:cs="黑体"/>
          <w:b/>
          <w:bCs/>
          <w:color w:val="000000"/>
          <w:sz w:val="28"/>
          <w:szCs w:val="28"/>
          <w:lang w:eastAsia="zh-CN"/>
        </w:rPr>
        <w:t>项目</w:t>
      </w:r>
      <w:r>
        <w:rPr>
          <w:rFonts w:hint="eastAsia" w:ascii="黑体" w:hAnsi="黑体" w:eastAsia="黑体" w:cs="黑体"/>
          <w:b/>
          <w:bCs/>
          <w:color w:val="000000"/>
          <w:sz w:val="28"/>
          <w:szCs w:val="28"/>
        </w:rPr>
        <w:t>价格形式</w:t>
      </w:r>
    </w:p>
    <w:p>
      <w:pPr>
        <w:keepNext w:val="0"/>
        <w:keepLines w:val="0"/>
        <w:pageBreakBefore w:val="0"/>
        <w:widowControl w:val="0"/>
        <w:kinsoku/>
        <w:wordWrap w:val="0"/>
        <w:overflowPunct/>
        <w:topLinePunct w:val="0"/>
        <w:autoSpaceDE/>
        <w:autoSpaceDN w:val="0"/>
        <w:bidi w:val="0"/>
        <w:adjustRightInd/>
        <w:snapToGrid/>
        <w:spacing w:line="240" w:lineRule="auto"/>
        <w:ind w:left="0" w:leftChars="0" w:right="0" w:rightChars="0" w:firstLine="536" w:firstLineChars="200"/>
        <w:jc w:val="both"/>
        <w:textAlignment w:val="auto"/>
        <w:outlineLvl w:val="9"/>
        <w:rPr>
          <w:rFonts w:hint="eastAsia" w:ascii="黑体" w:hAnsi="黑体" w:eastAsia="黑体" w:cs="黑体"/>
          <w:b/>
          <w:bCs/>
          <w:color w:val="auto"/>
          <w:sz w:val="24"/>
          <w:szCs w:val="24"/>
          <w:lang w:val="en-US" w:eastAsia="zh-CN"/>
        </w:rPr>
      </w:pPr>
      <w:r>
        <w:rPr>
          <w:rFonts w:hint="eastAsia" w:ascii="仿宋_GB2312" w:hAnsi="仿宋_GB2312" w:eastAsia="仿宋_GB2312" w:cs="仿宋_GB2312"/>
          <w:spacing w:val="-6"/>
          <w:kern w:val="0"/>
          <w:sz w:val="28"/>
          <w:szCs w:val="28"/>
        </w:rPr>
        <w:t>本项目</w:t>
      </w:r>
      <w:r>
        <w:rPr>
          <w:rFonts w:hint="eastAsia" w:ascii="仿宋_GB2312" w:hAnsi="仿宋" w:eastAsia="仿宋_GB2312"/>
          <w:spacing w:val="-6"/>
          <w:kern w:val="0"/>
          <w:sz w:val="28"/>
          <w:szCs w:val="28"/>
        </w:rPr>
        <w:t>不含税单价固定</w:t>
      </w:r>
      <w:r>
        <w:rPr>
          <w:rFonts w:hint="eastAsia" w:ascii="仿宋_GB2312" w:hAnsi="仿宋_GB2312" w:eastAsia="仿宋_GB2312" w:cs="仿宋_GB2312"/>
          <w:spacing w:val="-6"/>
          <w:kern w:val="0"/>
          <w:sz w:val="28"/>
          <w:szCs w:val="28"/>
        </w:rPr>
        <w:t>，</w:t>
      </w:r>
      <w:r>
        <w:rPr>
          <w:rFonts w:hint="eastAsia" w:ascii="仿宋_GB2312" w:hAnsi="仿宋" w:eastAsia="仿宋_GB2312"/>
          <w:b/>
          <w:bCs/>
          <w:spacing w:val="-6"/>
          <w:kern w:val="0"/>
          <w:sz w:val="28"/>
          <w:szCs w:val="28"/>
        </w:rPr>
        <w:t>结算价=</w:t>
      </w:r>
      <w:r>
        <w:rPr>
          <w:rFonts w:hint="eastAsia" w:ascii="仿宋_GB2312" w:hAnsi="仿宋" w:eastAsia="仿宋_GB2312"/>
          <w:b/>
          <w:bCs/>
          <w:spacing w:val="-6"/>
          <w:kern w:val="0"/>
          <w:sz w:val="28"/>
          <w:szCs w:val="28"/>
          <w:lang w:eastAsia="zh-CN"/>
        </w:rPr>
        <w:t>含税单价</w:t>
      </w:r>
      <w:r>
        <w:rPr>
          <w:rFonts w:hint="eastAsia" w:ascii="仿宋_GB2312" w:hAnsi="仿宋" w:eastAsia="仿宋_GB2312"/>
          <w:b/>
          <w:bCs/>
          <w:spacing w:val="-6"/>
          <w:kern w:val="0"/>
          <w:sz w:val="28"/>
          <w:szCs w:val="28"/>
          <w:lang w:val="en-US" w:eastAsia="zh-CN"/>
        </w:rPr>
        <w:t>*</w:t>
      </w:r>
      <w:r>
        <w:rPr>
          <w:rFonts w:hint="eastAsia" w:ascii="仿宋_GB2312" w:hAnsi="仿宋" w:eastAsia="仿宋_GB2312"/>
          <w:b/>
          <w:bCs/>
          <w:spacing w:val="-6"/>
          <w:kern w:val="0"/>
          <w:sz w:val="28"/>
          <w:szCs w:val="28"/>
        </w:rPr>
        <w:t>结算数量</w:t>
      </w:r>
      <w:r>
        <w:rPr>
          <w:rFonts w:hint="eastAsia" w:ascii="仿宋_GB2312" w:hAnsi="仿宋" w:eastAsia="仿宋_GB2312"/>
          <w:b/>
          <w:bCs/>
          <w:spacing w:val="-6"/>
          <w:kern w:val="0"/>
          <w:sz w:val="28"/>
          <w:szCs w:val="28"/>
          <w:lang w:eastAsia="zh-CN"/>
        </w:rPr>
        <w:t>，含税单价</w:t>
      </w:r>
      <w:r>
        <w:rPr>
          <w:rFonts w:hint="eastAsia" w:ascii="仿宋_GB2312" w:hAnsi="仿宋" w:eastAsia="仿宋_GB2312"/>
          <w:b/>
          <w:bCs/>
          <w:spacing w:val="-6"/>
          <w:kern w:val="0"/>
          <w:sz w:val="28"/>
          <w:szCs w:val="28"/>
          <w:lang w:val="en-US" w:eastAsia="zh-CN"/>
        </w:rPr>
        <w:t>=</w:t>
      </w:r>
      <w:r>
        <w:rPr>
          <w:rFonts w:hint="eastAsia" w:ascii="仿宋_GB2312" w:hAnsi="仿宋" w:eastAsia="仿宋_GB2312"/>
          <w:b/>
          <w:bCs/>
          <w:spacing w:val="-6"/>
          <w:kern w:val="0"/>
          <w:sz w:val="28"/>
          <w:szCs w:val="28"/>
        </w:rPr>
        <w:t>不含税中选单价×(1+增值税率)</w:t>
      </w:r>
      <w:r>
        <w:rPr>
          <w:rFonts w:hint="eastAsia" w:ascii="仿宋_GB2312" w:hAnsi="仿宋_GB2312" w:eastAsia="仿宋_GB2312" w:cs="仿宋_GB2312"/>
          <w:b/>
          <w:bCs/>
          <w:color w:val="auto"/>
          <w:kern w:val="0"/>
          <w:sz w:val="28"/>
          <w:szCs w:val="28"/>
          <w:highlight w:val="none"/>
          <w:lang w:eastAsia="zh-CN"/>
        </w:rPr>
        <w:t>。</w:t>
      </w:r>
      <w:r>
        <w:rPr>
          <w:rFonts w:hint="eastAsia" w:ascii="仿宋_GB2312" w:hAnsi="仿宋_GB2312" w:eastAsia="仿宋_GB2312" w:cs="仿宋_GB2312"/>
          <w:spacing w:val="-6"/>
          <w:kern w:val="0"/>
          <w:sz w:val="28"/>
          <w:szCs w:val="28"/>
        </w:rPr>
        <w:t>实际采购数量以委托单位和中选单位双方指定代表共同签名确认的为准，合同价格</w:t>
      </w:r>
      <w:r>
        <w:rPr>
          <w:rFonts w:hint="eastAsia" w:ascii="仿宋_GB2312" w:hAnsi="宋体" w:eastAsia="仿宋_GB2312"/>
          <w:spacing w:val="-6"/>
          <w:kern w:val="0"/>
          <w:sz w:val="28"/>
          <w:szCs w:val="28"/>
        </w:rPr>
        <w:t>包括但</w:t>
      </w:r>
      <w:r>
        <w:rPr>
          <w:rFonts w:hint="eastAsia" w:ascii="仿宋_GB2312" w:hAnsi="仿宋" w:eastAsia="仿宋_GB2312"/>
          <w:spacing w:val="-6"/>
          <w:kern w:val="0"/>
          <w:sz w:val="28"/>
          <w:szCs w:val="28"/>
        </w:rPr>
        <w:t>不限于货物的采购、包装、搬运、现场技术指导、装卸、保险、检验、验收以及提供的相关服务（如培训、售后、运维）和企业管理费、利润、税费等一切完成本项目发生的可预见和不可预见的费用</w:t>
      </w:r>
      <w:r>
        <w:rPr>
          <w:rFonts w:hint="eastAsia" w:ascii="仿宋" w:hAnsi="仿宋" w:eastAsia="仿宋" w:cs="仿宋"/>
          <w:spacing w:val="-6"/>
          <w:kern w:val="0"/>
          <w:sz w:val="28"/>
          <w:szCs w:val="28"/>
          <w:lang w:eastAsia="zh-CN"/>
        </w:rPr>
        <w:t>。</w:t>
      </w:r>
    </w:p>
    <w:p>
      <w:pPr>
        <w:numPr>
          <w:ilvl w:val="0"/>
          <w:numId w:val="0"/>
        </w:numPr>
        <w:rPr>
          <w:rFonts w:hint="eastAsia" w:ascii="黑体" w:hAnsi="黑体" w:eastAsia="黑体" w:cs="黑体"/>
          <w:b/>
          <w:bCs/>
          <w:color w:val="auto"/>
          <w:sz w:val="28"/>
          <w:szCs w:val="28"/>
        </w:rPr>
      </w:pPr>
      <w:r>
        <w:rPr>
          <w:rFonts w:hint="eastAsia" w:ascii="黑体" w:hAnsi="黑体" w:eastAsia="黑体" w:cs="黑体"/>
          <w:b/>
          <w:bCs/>
          <w:color w:val="auto"/>
          <w:sz w:val="28"/>
          <w:szCs w:val="28"/>
          <w:lang w:eastAsia="zh-CN"/>
        </w:rPr>
        <w:t>八、</w:t>
      </w:r>
      <w:r>
        <w:rPr>
          <w:rFonts w:hint="eastAsia" w:ascii="黑体" w:hAnsi="黑体" w:eastAsia="黑体" w:cs="黑体"/>
          <w:b/>
          <w:bCs/>
          <w:color w:val="auto"/>
          <w:sz w:val="28"/>
          <w:szCs w:val="28"/>
        </w:rPr>
        <w:t>结算、付款方式、期限</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rPr>
        <w:t>1.中选单位凭委托单位的发货通知书和双方指定代表共同签名确认的送货单与委托单位进行结算。</w:t>
      </w:r>
    </w:p>
    <w:p>
      <w:pPr>
        <w:ind w:firstLine="536" w:firstLineChars="200"/>
        <w:rPr>
          <w:rFonts w:hint="eastAsia" w:ascii="仿宋_GB2312" w:hAnsi="仿宋_GB2312" w:eastAsia="仿宋_GB2312" w:cs="仿宋_GB2312"/>
          <w:sz w:val="28"/>
          <w:szCs w:val="28"/>
        </w:rPr>
      </w:pPr>
      <w:r>
        <w:rPr>
          <w:rFonts w:hint="eastAsia" w:ascii="仿宋_GB2312" w:hAnsi="宋体" w:eastAsia="仿宋_GB2312" w:cs="仿宋_GB2312"/>
          <w:spacing w:val="-6"/>
          <w:kern w:val="0"/>
          <w:sz w:val="28"/>
          <w:szCs w:val="28"/>
        </w:rPr>
        <w:t>2.</w:t>
      </w:r>
      <w:r>
        <w:rPr>
          <w:rFonts w:hint="eastAsia" w:ascii="仿宋_GB2312" w:hAnsi="仿宋_GB2312" w:eastAsia="仿宋_GB2312" w:cs="仿宋_GB2312"/>
          <w:sz w:val="28"/>
          <w:szCs w:val="28"/>
        </w:rPr>
        <w:t>付款方式：委托单位有权根据自身资金安排，选择以下一种或多种方式向中选单位支付合同款项：（1）银行转账；（2）银行承兑汇票；（3）商业承兑汇票（含电子商业承兑汇票）；（4）国内信用证；（5）保理；（6）双方确认的其他支付方式（含供应链金融凭证等）。</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费用承担约定：若委托单位选择上述第（2）至（6）项中任一种非银行转账方式支付，则该支付方式下产生的全部费用，包括但不限于贴现利息、议付利息、保理费、手续费及其他任何形式的资金成本或财务费用，均由中选单位承担。委托单位不承担任何前述费用，且中选单位不得以任何理由要求委托单位增加付款金额或另行支付贴息。</w:t>
      </w:r>
    </w:p>
    <w:p>
      <w:pPr>
        <w:ind w:firstLine="560" w:firstLineChars="200"/>
        <w:rPr>
          <w:rFonts w:hint="eastAsia" w:ascii="仿宋_GB2312" w:hAnsi="宋体" w:eastAsia="仿宋_GB2312" w:cs="仿宋_GB2312"/>
          <w:spacing w:val="-6"/>
          <w:kern w:val="0"/>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．支付义务完成：委托单位按期将资金支付至中选单位或相关方（如银行、保理商）指定账户，或合法交付票据后，则视为委托单位完成该笔款项的支付义务。</w:t>
      </w:r>
      <w:r>
        <w:rPr>
          <w:rFonts w:hint="eastAsia" w:ascii="仿宋_GB2312" w:hAnsi="宋体" w:eastAsia="仿宋_GB2312" w:cs="仿宋_GB2312"/>
          <w:spacing w:val="-6"/>
          <w:kern w:val="0"/>
          <w:sz w:val="28"/>
          <w:szCs w:val="28"/>
        </w:rPr>
        <w:t>。</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lang w:val="en-US" w:eastAsia="zh-CN"/>
        </w:rPr>
        <w:t>5</w:t>
      </w:r>
      <w:r>
        <w:rPr>
          <w:rFonts w:hint="eastAsia" w:ascii="仿宋_GB2312" w:hAnsi="宋体" w:eastAsia="仿宋_GB2312" w:cs="仿宋_GB2312"/>
          <w:spacing w:val="-6"/>
          <w:kern w:val="0"/>
          <w:sz w:val="28"/>
          <w:szCs w:val="28"/>
        </w:rPr>
        <w:t>.付款时间：</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rPr>
        <w:t>（1）每批次货物经委托单位验收合格并完成结算后，由中选单位开具发票。委托单位收到发票及完整请款资料、完成付款审批后60个日历天内，支付该批次货款的95%。</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rPr>
        <w:t>（2）剩余5%尾款自本批次95%款项实际支付日起60日内付清，期间发生的质量整改、赔付等费用，委托单位可直接从尾款中扣除</w:t>
      </w:r>
      <w:r>
        <w:rPr>
          <w:rFonts w:hint="eastAsia" w:ascii="仿宋_GB2312" w:hAnsi="宋体" w:eastAsia="仿宋_GB2312" w:cs="仿宋_GB2312"/>
          <w:spacing w:val="-6"/>
          <w:kern w:val="0"/>
          <w:sz w:val="28"/>
          <w:szCs w:val="28"/>
          <w:lang w:eastAsia="zh-CN"/>
        </w:rPr>
        <w:t>，若尾款不足以扣除，委托单位有权向中选单位继续追偿</w:t>
      </w:r>
      <w:r>
        <w:rPr>
          <w:rFonts w:hint="eastAsia" w:ascii="仿宋_GB2312" w:hAnsi="宋体" w:eastAsia="仿宋_GB2312" w:cs="仿宋_GB2312"/>
          <w:spacing w:val="-6"/>
          <w:kern w:val="0"/>
          <w:sz w:val="28"/>
          <w:szCs w:val="28"/>
        </w:rPr>
        <w:t>。</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lang w:val="en-US" w:eastAsia="zh-CN"/>
        </w:rPr>
        <w:t>6</w:t>
      </w:r>
      <w:r>
        <w:rPr>
          <w:rFonts w:hint="eastAsia" w:ascii="仿宋_GB2312" w:hAnsi="宋体" w:eastAsia="仿宋_GB2312" w:cs="仿宋_GB2312"/>
          <w:spacing w:val="-6"/>
          <w:kern w:val="0"/>
          <w:sz w:val="28"/>
          <w:szCs w:val="28"/>
        </w:rPr>
        <w:t>.中选单位在每次收款前必须向委托单位提供符合国家财税规定的增值税专用发票，收款方、出具发票方、合同乙方均必须与中选单位名称一致；若中选单位提供的发票不符合要求，委托单位有权拒绝付款直至中选单位提供合规发票，且不视为委托单位逾期付款。</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lang w:val="en-US" w:eastAsia="zh-CN"/>
        </w:rPr>
        <w:t>7</w:t>
      </w:r>
      <w:r>
        <w:rPr>
          <w:rFonts w:hint="eastAsia" w:ascii="仿宋_GB2312" w:hAnsi="宋体" w:eastAsia="仿宋_GB2312" w:cs="仿宋_GB2312"/>
          <w:spacing w:val="-6"/>
          <w:kern w:val="0"/>
          <w:sz w:val="28"/>
          <w:szCs w:val="28"/>
        </w:rPr>
        <w:t>.付款期间如因特殊情况需调整，由双方协商处理。若国家调整税率发生变化，按最新的税率执行。</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lang w:val="en-US" w:eastAsia="zh-CN"/>
        </w:rPr>
        <w:t>8</w:t>
      </w:r>
      <w:r>
        <w:rPr>
          <w:rFonts w:hint="eastAsia" w:ascii="仿宋_GB2312" w:hAnsi="宋体" w:eastAsia="仿宋_GB2312" w:cs="仿宋_GB2312"/>
          <w:spacing w:val="-6"/>
          <w:kern w:val="0"/>
          <w:sz w:val="28"/>
          <w:szCs w:val="28"/>
        </w:rPr>
        <w:t>.中选单位应理解委托单位付款的相关程序，委托单位在请款规定的时间向部门提出办理支付申请手续，若因审核流程或手续而造成项目支付进度合理延迟而导致逾期付款的，中选单位应同意给予二个月的付款宽限期，在此宽限期内不视为委托单位违约且不计息，宽限期内中选单位仍需按合同约定及委托单位发货通知要求履行全部供货义务，不得迟延交付，中选单位不得以此为由中断合同的货物供应。</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lang w:val="en-US" w:eastAsia="zh-CN"/>
        </w:rPr>
        <w:t>9</w:t>
      </w:r>
      <w:r>
        <w:rPr>
          <w:rFonts w:hint="eastAsia" w:ascii="仿宋_GB2312" w:hAnsi="宋体" w:eastAsia="仿宋_GB2312" w:cs="仿宋_GB2312"/>
          <w:spacing w:val="-6"/>
          <w:kern w:val="0"/>
          <w:sz w:val="28"/>
          <w:szCs w:val="28"/>
        </w:rPr>
        <w:t>.本项目结束时，双方对整个项目进行最终结算，若发现双方在合作过程中，已完成的结算存在错误的(包括但不限于计算错误、对合同理解错误、参考的发布价勘误)，双方在最终结算时进行调整，以最终结算为准。</w:t>
      </w:r>
    </w:p>
    <w:p>
      <w:pPr>
        <w:ind w:firstLine="536" w:firstLineChars="200"/>
        <w:rPr>
          <w:rFonts w:hint="eastAsia"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lang w:val="en-US" w:eastAsia="zh-CN"/>
        </w:rPr>
        <w:t>10</w:t>
      </w:r>
      <w:r>
        <w:rPr>
          <w:rFonts w:hint="eastAsia" w:ascii="仿宋_GB2312" w:hAnsi="宋体" w:eastAsia="仿宋_GB2312" w:cs="仿宋_GB2312"/>
          <w:spacing w:val="-6"/>
          <w:kern w:val="0"/>
          <w:sz w:val="28"/>
          <w:szCs w:val="28"/>
        </w:rPr>
        <w:t>.项目办理最终结算时，签订封账协议</w:t>
      </w:r>
      <w:r>
        <w:rPr>
          <w:rFonts w:hint="eastAsia" w:ascii="仿宋" w:hAnsi="仿宋" w:eastAsia="仿宋" w:cs="仿宋"/>
          <w:spacing w:val="-6"/>
          <w:kern w:val="0"/>
          <w:sz w:val="28"/>
          <w:szCs w:val="28"/>
        </w:rPr>
        <w:t>。</w:t>
      </w:r>
    </w:p>
    <w:p>
      <w:pPr>
        <w:keepNext w:val="0"/>
        <w:keepLines w:val="0"/>
        <w:pageBreakBefore w:val="0"/>
        <w:widowControl w:val="0"/>
        <w:tabs>
          <w:tab w:val="left" w:pos="567"/>
        </w:tabs>
        <w:kinsoku/>
        <w:wordWrap/>
        <w:overflowPunct/>
        <w:topLinePunct w:val="0"/>
        <w:autoSpaceDE/>
        <w:autoSpaceDN/>
        <w:bidi w:val="0"/>
        <w:adjustRightInd/>
        <w:snapToGrid/>
        <w:spacing w:line="560" w:lineRule="exact"/>
        <w:textAlignment w:val="auto"/>
        <w:rPr>
          <w:rFonts w:hint="eastAsia" w:ascii="黑体" w:hAnsi="黑体" w:eastAsia="黑体" w:cs="黑体"/>
          <w:b/>
          <w:bCs/>
          <w:color w:val="000000"/>
          <w:kern w:val="15"/>
          <w:sz w:val="28"/>
          <w:szCs w:val="28"/>
          <w:highlight w:val="none"/>
        </w:rPr>
      </w:pPr>
      <w:r>
        <w:rPr>
          <w:rFonts w:hint="eastAsia" w:ascii="黑体" w:hAnsi="黑体" w:eastAsia="黑体" w:cs="黑体"/>
          <w:b/>
          <w:bCs/>
          <w:color w:val="000000"/>
          <w:kern w:val="15"/>
          <w:sz w:val="28"/>
          <w:szCs w:val="28"/>
          <w:highlight w:val="none"/>
          <w:lang w:val="en-US" w:eastAsia="zh-CN"/>
        </w:rPr>
        <w:t>九、</w:t>
      </w:r>
      <w:r>
        <w:rPr>
          <w:rFonts w:hint="eastAsia" w:ascii="黑体" w:hAnsi="黑体" w:eastAsia="黑体" w:cs="黑体"/>
          <w:b/>
          <w:bCs/>
          <w:color w:val="000000"/>
          <w:kern w:val="15"/>
          <w:sz w:val="28"/>
          <w:szCs w:val="28"/>
          <w:highlight w:val="none"/>
        </w:rPr>
        <w:t>违约责任</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1.中选单位未按合同约定时间及时提供全部货物，应向委托单位承担逾期供货的违约责任，每逾期一日，中选单位应按该批次货物价款的5‰向委托单位支付违约金。逾期七日以上的，委托单位有权单方解除合同，扣除对应违约金后结算已合格供货的货款。</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2.中选单位所交货物的型号、规格、数量等不符合合同约定的，应进行更换、补发，并承担委托单位因更换、补发而支付的所有费用，由此而逾期交货的，还应按本条第1点逾期交货的违约责任处理。</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3.中选单位应在货物到达当天，将货物的合格证送达委托单位。如果合格证不全或者在邮寄过程中丢失，中选单位应在接到委托单位通知之日起7天内免费向委托单位补齐。逾期未补齐按本条第1点逾期交付货物处理。</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4.供货质量、性能或售后服务不能满足合同的要求的，委托单位有权选择下列方式处理：</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（1）终止合同，并要求中选单位赔偿损失并承担相应的违约责任。</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（2）</w:t>
      </w:r>
      <w:r>
        <w:rPr>
          <w:rFonts w:hint="eastAsia" w:ascii="仿宋_GB2312" w:hAnsi="仿宋_GB2312" w:eastAsia="仿宋_GB2312" w:cs="仿宋_GB2312"/>
          <w:b w:val="0"/>
          <w:bCs/>
          <w:sz w:val="28"/>
          <w:szCs w:val="28"/>
          <w:highlight w:val="none"/>
          <w:lang w:bidi="ar"/>
        </w:rPr>
        <w:t>中选单位收到通知3日内完成更换、补发，承担全部配套费用，若产生交货逾期同步计收逾期违约金</w:t>
      </w:r>
      <w:r>
        <w:rPr>
          <w:rFonts w:hint="eastAsia" w:ascii="仿宋_GB2312" w:hAnsi="仿宋_GB2312" w:eastAsia="仿宋_GB2312" w:cs="仿宋_GB2312"/>
          <w:b w:val="0"/>
          <w:bCs/>
          <w:kern w:val="2"/>
          <w:sz w:val="28"/>
          <w:szCs w:val="28"/>
          <w:highlight w:val="none"/>
          <w:lang w:val="en-US" w:eastAsia="zh-CN" w:bidi="ar"/>
        </w:rPr>
        <w:t>。</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5.本项目合同约定的损失，应包括但不限于因中选单位违约造成的委托单位所有损失及因委托单位实现债权而发生的律师费、诉讼费、财产保全担保费、差旅费、公证费、鉴定费和其他经济损失等，</w:t>
      </w:r>
      <w:r>
        <w:rPr>
          <w:rFonts w:hint="eastAsia" w:ascii="仿宋_GB2312" w:hAnsi="仿宋_GB2312" w:eastAsia="仿宋_GB2312" w:cs="仿宋_GB2312"/>
          <w:b w:val="0"/>
          <w:bCs/>
          <w:sz w:val="28"/>
          <w:szCs w:val="28"/>
          <w:highlight w:val="none"/>
          <w:lang w:bidi="ar"/>
        </w:rPr>
        <w:t>无论供货阶段还是质保期内因中选单位产品质量问题给委托单位造成损失，均由中选单位全额赔偿</w:t>
      </w:r>
      <w:r>
        <w:rPr>
          <w:rFonts w:hint="eastAsia" w:ascii="仿宋_GB2312" w:hAnsi="仿宋_GB2312" w:eastAsia="仿宋_GB2312" w:cs="仿宋_GB2312"/>
          <w:b w:val="0"/>
          <w:bCs/>
          <w:kern w:val="2"/>
          <w:sz w:val="28"/>
          <w:szCs w:val="28"/>
          <w:highlight w:val="none"/>
          <w:lang w:val="en-US" w:eastAsia="zh-CN" w:bidi="ar"/>
        </w:rPr>
        <w:t>。</w:t>
      </w:r>
    </w:p>
    <w:p>
      <w:pPr>
        <w:pStyle w:val="3"/>
        <w:ind w:firstLine="560" w:firstLineChars="200"/>
        <w:jc w:val="left"/>
        <w:rPr>
          <w:rFonts w:hint="eastAsia" w:ascii="仿宋_GB2312" w:hAnsi="仿宋_GB2312" w:eastAsia="仿宋_GB2312" w:cs="仿宋_GB2312"/>
          <w:b w:val="0"/>
          <w:bCs/>
          <w:kern w:val="2"/>
          <w:sz w:val="28"/>
          <w:szCs w:val="28"/>
          <w:highlight w:val="none"/>
          <w:lang w:val="en-US" w:eastAsia="zh-CN" w:bidi="ar"/>
        </w:rPr>
      </w:pPr>
      <w:r>
        <w:rPr>
          <w:rFonts w:hint="eastAsia" w:ascii="仿宋_GB2312" w:hAnsi="仿宋_GB2312" w:eastAsia="仿宋_GB2312" w:cs="仿宋_GB2312"/>
          <w:b w:val="0"/>
          <w:bCs/>
          <w:kern w:val="2"/>
          <w:sz w:val="28"/>
          <w:szCs w:val="28"/>
          <w:highlight w:val="none"/>
          <w:lang w:val="en-US" w:eastAsia="zh-CN" w:bidi="ar"/>
        </w:rPr>
        <w:t>6.在合同履行期间，中选单位出现材料供应质量较差、断供、经营不善及服务意识差等情况，委托单位有权选择其他供应商供货，中选单位须支付该供货周期的原材料差价，并赔偿委托单位因此导致的所有损失。</w:t>
      </w:r>
    </w:p>
    <w:p>
      <w:pPr>
        <w:pStyle w:val="3"/>
        <w:ind w:firstLine="560" w:firstLineChars="200"/>
        <w:jc w:val="left"/>
        <w:rPr>
          <w:rFonts w:hint="eastAsia" w:ascii="仿宋_GB2312" w:hAnsi="仿宋_GB2312" w:eastAsia="仿宋_GB2312" w:cs="仿宋_GB2312"/>
          <w:b w:val="0"/>
          <w:bCs/>
          <w:kern w:val="2"/>
          <w:sz w:val="28"/>
          <w:szCs w:val="28"/>
          <w:lang w:val="en-US" w:eastAsia="zh-CN" w:bidi="ar"/>
        </w:rPr>
      </w:pPr>
      <w:r>
        <w:rPr>
          <w:rFonts w:hint="eastAsia" w:ascii="仿宋_GB2312" w:hAnsi="仿宋_GB2312" w:eastAsia="仿宋_GB2312" w:cs="仿宋_GB2312"/>
          <w:b w:val="0"/>
          <w:bCs/>
          <w:kern w:val="2"/>
          <w:sz w:val="28"/>
          <w:szCs w:val="28"/>
          <w:highlight w:val="none"/>
          <w:lang w:val="en-US" w:eastAsia="zh-CN" w:bidi="ar"/>
        </w:rPr>
        <w:t>7.中选单位不能向第三方转移合同义务。若查实中选单位擅自向第三方转移合同主要义务的，视为违约，委托单位有权取消其供货资格。</w:t>
      </w:r>
    </w:p>
    <w:p>
      <w:pPr>
        <w:numPr>
          <w:ilvl w:val="0"/>
          <w:numId w:val="0"/>
        </w:numPr>
        <w:tabs>
          <w:tab w:val="left" w:pos="420"/>
        </w:tabs>
        <w:ind w:leftChars="0"/>
        <w:rPr>
          <w:rFonts w:ascii="黑体" w:hAnsi="黑体" w:eastAsia="黑体" w:cs="黑体"/>
          <w:b/>
          <w:bCs/>
          <w:color w:val="auto"/>
          <w:sz w:val="28"/>
          <w:szCs w:val="28"/>
        </w:rPr>
      </w:pPr>
      <w:r>
        <w:rPr>
          <w:rFonts w:hint="eastAsia" w:ascii="黑体" w:hAnsi="黑体" w:eastAsia="黑体" w:cs="黑体"/>
          <w:b/>
          <w:bCs/>
          <w:color w:val="auto"/>
          <w:sz w:val="28"/>
          <w:szCs w:val="28"/>
          <w:lang w:eastAsia="zh-CN"/>
        </w:rPr>
        <w:t>十、</w:t>
      </w:r>
      <w:r>
        <w:rPr>
          <w:rFonts w:hint="eastAsia" w:ascii="黑体" w:hAnsi="黑体" w:eastAsia="黑体" w:cs="黑体"/>
          <w:b/>
          <w:bCs/>
          <w:color w:val="auto"/>
          <w:sz w:val="28"/>
          <w:szCs w:val="28"/>
        </w:rPr>
        <w:t>评选方法</w:t>
      </w:r>
    </w:p>
    <w:p>
      <w:pPr>
        <w:spacing w:line="360" w:lineRule="auto"/>
        <w:ind w:firstLine="536" w:firstLineChars="200"/>
        <w:rPr>
          <w:rFonts w:ascii="仿宋_GB2312" w:eastAsia="仿宋_GB2312"/>
          <w:spacing w:val="-6"/>
          <w:kern w:val="0"/>
          <w:sz w:val="32"/>
          <w:szCs w:val="32"/>
        </w:rPr>
      </w:pPr>
      <w:r>
        <w:rPr>
          <w:rFonts w:hint="eastAsia" w:ascii="仿宋_GB2312" w:hAnsi="仿宋" w:eastAsia="仿宋_GB2312"/>
          <w:spacing w:val="-6"/>
          <w:kern w:val="0"/>
          <w:sz w:val="28"/>
          <w:szCs w:val="28"/>
        </w:rPr>
        <w:t>本项目采用</w:t>
      </w:r>
      <w:r>
        <w:rPr>
          <w:rFonts w:hint="eastAsia" w:ascii="仿宋_GB2312" w:hAnsi="仿宋" w:eastAsia="仿宋_GB2312"/>
          <w:spacing w:val="-6"/>
          <w:kern w:val="0"/>
          <w:sz w:val="28"/>
          <w:szCs w:val="28"/>
          <w:lang w:eastAsia="zh-CN"/>
        </w:rPr>
        <w:t>有效报价</w:t>
      </w:r>
      <w:r>
        <w:rPr>
          <w:rFonts w:hint="eastAsia" w:ascii="仿宋_GB2312" w:hAnsi="仿宋" w:eastAsia="仿宋_GB2312"/>
          <w:spacing w:val="-6"/>
          <w:kern w:val="0"/>
          <w:sz w:val="28"/>
          <w:szCs w:val="28"/>
        </w:rPr>
        <w:t>税前最低价法确定</w:t>
      </w:r>
      <w:r>
        <w:rPr>
          <w:rFonts w:hint="eastAsia" w:ascii="仿宋_GB2312" w:hAnsi="仿宋" w:eastAsia="仿宋_GB2312"/>
          <w:b/>
          <w:bCs/>
          <w:spacing w:val="-6"/>
          <w:kern w:val="0"/>
          <w:sz w:val="28"/>
          <w:szCs w:val="28"/>
        </w:rPr>
        <w:t>一名</w:t>
      </w:r>
      <w:r>
        <w:rPr>
          <w:rFonts w:hint="eastAsia" w:ascii="仿宋_GB2312" w:hAnsi="仿宋" w:eastAsia="仿宋_GB2312"/>
          <w:spacing w:val="-6"/>
          <w:kern w:val="0"/>
          <w:sz w:val="28"/>
          <w:szCs w:val="28"/>
        </w:rPr>
        <w:t>中选单位，原则为项目报价在不高于项目限价或</w:t>
      </w:r>
      <w:r>
        <w:rPr>
          <w:rFonts w:hint="eastAsia" w:ascii="仿宋_GB2312" w:hAnsi="仿宋" w:eastAsia="仿宋_GB2312"/>
          <w:b/>
          <w:bCs/>
          <w:spacing w:val="-6"/>
          <w:kern w:val="0"/>
          <w:sz w:val="28"/>
          <w:szCs w:val="28"/>
        </w:rPr>
        <w:t>不超出项目报价范围</w:t>
      </w:r>
      <w:r>
        <w:rPr>
          <w:rFonts w:hint="eastAsia" w:ascii="仿宋_GB2312" w:hAnsi="仿宋" w:eastAsia="仿宋_GB2312"/>
          <w:spacing w:val="-6"/>
          <w:kern w:val="0"/>
          <w:sz w:val="28"/>
          <w:szCs w:val="28"/>
        </w:rPr>
        <w:t>的前提下，</w:t>
      </w:r>
      <w:r>
        <w:rPr>
          <w:rFonts w:hint="eastAsia" w:ascii="仿宋_GB2312" w:hAnsi="仿宋" w:eastAsia="仿宋_GB2312"/>
          <w:spacing w:val="-6"/>
          <w:kern w:val="0"/>
          <w:sz w:val="28"/>
          <w:szCs w:val="28"/>
          <w:lang w:eastAsia="zh-CN"/>
        </w:rPr>
        <w:t>按</w:t>
      </w:r>
      <w:r>
        <w:rPr>
          <w:rFonts w:hint="eastAsia" w:ascii="仿宋_GB2312" w:hAnsi="仿宋" w:eastAsia="仿宋_GB2312"/>
          <w:spacing w:val="-6"/>
          <w:kern w:val="0"/>
          <w:sz w:val="28"/>
          <w:szCs w:val="28"/>
        </w:rPr>
        <w:t>项目报价</w:t>
      </w:r>
      <w:r>
        <w:rPr>
          <w:rFonts w:hint="eastAsia" w:ascii="仿宋_GB2312" w:hAnsi="仿宋" w:eastAsia="仿宋_GB2312"/>
          <w:b/>
          <w:bCs/>
          <w:spacing w:val="-6"/>
          <w:kern w:val="0"/>
          <w:sz w:val="28"/>
          <w:szCs w:val="28"/>
        </w:rPr>
        <w:t>（</w:t>
      </w:r>
      <w:r>
        <w:rPr>
          <w:rFonts w:hint="eastAsia" w:ascii="仿宋_GB2312" w:hAnsi="仿宋" w:eastAsia="仿宋_GB2312"/>
          <w:b/>
          <w:bCs/>
          <w:spacing w:val="-6"/>
          <w:kern w:val="0"/>
          <w:sz w:val="28"/>
          <w:szCs w:val="28"/>
          <w:lang w:eastAsia="zh-CN"/>
        </w:rPr>
        <w:t>折率</w:t>
      </w:r>
      <w:r>
        <w:rPr>
          <w:rFonts w:hint="eastAsia" w:ascii="仿宋_GB2312" w:hAnsi="仿宋" w:eastAsia="仿宋_GB2312"/>
          <w:b/>
          <w:bCs/>
          <w:spacing w:val="-6"/>
          <w:kern w:val="0"/>
          <w:sz w:val="28"/>
          <w:szCs w:val="28"/>
        </w:rPr>
        <w:t>）最低者</w:t>
      </w:r>
      <w:r>
        <w:rPr>
          <w:rFonts w:hint="eastAsia" w:ascii="仿宋_GB2312" w:hAnsi="仿宋" w:eastAsia="仿宋_GB2312"/>
          <w:spacing w:val="-6"/>
          <w:kern w:val="0"/>
          <w:sz w:val="28"/>
          <w:szCs w:val="28"/>
        </w:rPr>
        <w:t>为中选单位。</w:t>
      </w:r>
      <w:r>
        <w:rPr>
          <w:rFonts w:hint="eastAsia" w:ascii="仿宋_GB2312" w:hAnsi="宋体" w:eastAsia="仿宋_GB2312"/>
          <w:spacing w:val="-6"/>
          <w:kern w:val="0"/>
          <w:sz w:val="28"/>
          <w:szCs w:val="28"/>
        </w:rPr>
        <w:t>若两家或以上单位</w:t>
      </w:r>
      <w:r>
        <w:rPr>
          <w:rFonts w:hint="eastAsia" w:ascii="仿宋_GB2312" w:hAnsi="宋体" w:eastAsia="仿宋_GB2312"/>
          <w:spacing w:val="-6"/>
          <w:kern w:val="0"/>
          <w:sz w:val="28"/>
          <w:szCs w:val="28"/>
          <w:lang w:eastAsia="zh-CN"/>
        </w:rPr>
        <w:t>的项目报价</w:t>
      </w:r>
      <w:r>
        <w:rPr>
          <w:rFonts w:hint="eastAsia" w:ascii="仿宋_GB2312" w:hAnsi="宋体" w:eastAsia="仿宋_GB2312"/>
          <w:spacing w:val="-6"/>
          <w:kern w:val="0"/>
          <w:sz w:val="28"/>
          <w:szCs w:val="28"/>
        </w:rPr>
        <w:t>（</w:t>
      </w:r>
      <w:r>
        <w:rPr>
          <w:rFonts w:hint="eastAsia" w:ascii="仿宋_GB2312" w:hAnsi="宋体" w:eastAsia="仿宋_GB2312"/>
          <w:spacing w:val="-6"/>
          <w:kern w:val="0"/>
          <w:sz w:val="28"/>
          <w:szCs w:val="28"/>
          <w:lang w:eastAsia="zh-CN"/>
        </w:rPr>
        <w:t>折率</w:t>
      </w:r>
      <w:r>
        <w:rPr>
          <w:rFonts w:hint="eastAsia" w:ascii="仿宋_GB2312" w:hAnsi="宋体" w:eastAsia="仿宋_GB2312"/>
          <w:spacing w:val="-6"/>
          <w:kern w:val="0"/>
          <w:sz w:val="28"/>
          <w:szCs w:val="28"/>
        </w:rPr>
        <w:t>）相同且最低时，则按所报增值税率最低者为中选单位；若两家或以上单位的项目报价</w:t>
      </w:r>
      <w:r>
        <w:rPr>
          <w:rFonts w:hint="eastAsia" w:ascii="仿宋_GB2312" w:hAnsi="宋体" w:eastAsia="仿宋_GB2312"/>
          <w:spacing w:val="-6"/>
          <w:kern w:val="0"/>
          <w:sz w:val="28"/>
          <w:szCs w:val="28"/>
          <w:lang w:eastAsia="zh-CN"/>
        </w:rPr>
        <w:t>（折率）</w:t>
      </w:r>
      <w:r>
        <w:rPr>
          <w:rFonts w:hint="eastAsia" w:ascii="仿宋_GB2312" w:hAnsi="宋体" w:eastAsia="仿宋_GB2312"/>
          <w:spacing w:val="-6"/>
          <w:kern w:val="0"/>
          <w:sz w:val="28"/>
          <w:szCs w:val="28"/>
        </w:rPr>
        <w:t>和所报增值税率均相同</w:t>
      </w:r>
      <w:r>
        <w:rPr>
          <w:rFonts w:hint="eastAsia" w:ascii="仿宋_GB2312" w:hAnsi="宋体" w:eastAsia="仿宋_GB2312"/>
          <w:spacing w:val="-6"/>
          <w:kern w:val="0"/>
          <w:sz w:val="28"/>
          <w:szCs w:val="28"/>
          <w:lang w:eastAsia="zh-CN"/>
        </w:rPr>
        <w:t>且最低</w:t>
      </w:r>
      <w:r>
        <w:rPr>
          <w:rFonts w:hint="eastAsia" w:ascii="仿宋_GB2312" w:hAnsi="宋体" w:eastAsia="仿宋_GB2312"/>
          <w:spacing w:val="-6"/>
          <w:kern w:val="0"/>
          <w:sz w:val="28"/>
          <w:szCs w:val="28"/>
        </w:rPr>
        <w:t>时，则采取随机抽取方式确定中选单位。</w:t>
      </w:r>
    </w:p>
    <w:p>
      <w:pPr>
        <w:keepNext w:val="0"/>
        <w:keepLines w:val="0"/>
        <w:pageBreakBefore w:val="0"/>
        <w:numPr>
          <w:ilvl w:val="0"/>
          <w:numId w:val="0"/>
        </w:numPr>
        <w:kinsoku/>
        <w:wordWrap/>
        <w:overflowPunct/>
        <w:topLinePunct w:val="0"/>
        <w:autoSpaceDE/>
        <w:bidi w:val="0"/>
        <w:spacing w:line="360" w:lineRule="auto"/>
        <w:ind w:left="0" w:leftChars="0" w:right="0" w:rightChars="0"/>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十一、</w:t>
      </w:r>
      <w:r>
        <w:rPr>
          <w:rFonts w:hint="eastAsia" w:ascii="黑体" w:hAnsi="黑体" w:eastAsia="黑体" w:cs="黑体"/>
          <w:b/>
          <w:bCs/>
          <w:color w:val="auto"/>
          <w:sz w:val="28"/>
          <w:szCs w:val="28"/>
        </w:rPr>
        <w:t>项目</w:t>
      </w:r>
      <w:r>
        <w:rPr>
          <w:rFonts w:hint="eastAsia" w:ascii="黑体" w:hAnsi="黑体" w:eastAsia="黑体" w:cs="黑体"/>
          <w:b/>
          <w:bCs/>
          <w:color w:val="auto"/>
          <w:sz w:val="28"/>
          <w:szCs w:val="28"/>
          <w:lang w:val="en-US" w:eastAsia="zh-CN"/>
        </w:rPr>
        <w:t>限价及报价方式</w:t>
      </w:r>
    </w:p>
    <w:tbl>
      <w:tblPr>
        <w:tblStyle w:val="13"/>
        <w:tblW w:w="9706" w:type="dxa"/>
        <w:tblInd w:w="-91" w:type="dxa"/>
        <w:tblLayout w:type="fixed"/>
        <w:tblCellMar>
          <w:top w:w="15" w:type="dxa"/>
          <w:left w:w="15" w:type="dxa"/>
          <w:bottom w:w="15" w:type="dxa"/>
          <w:right w:w="15" w:type="dxa"/>
        </w:tblCellMar>
      </w:tblPr>
      <w:tblGrid>
        <w:gridCol w:w="781"/>
        <w:gridCol w:w="2625"/>
        <w:gridCol w:w="2985"/>
        <w:gridCol w:w="900"/>
        <w:gridCol w:w="2415"/>
      </w:tblGrid>
      <w:tr>
        <w:tblPrEx>
          <w:tblCellMar>
            <w:top w:w="15" w:type="dxa"/>
            <w:left w:w="15" w:type="dxa"/>
            <w:bottom w:w="15" w:type="dxa"/>
            <w:right w:w="15" w:type="dxa"/>
          </w:tblCellMar>
        </w:tblPrEx>
        <w:trPr>
          <w:trHeight w:val="90" w:hRule="atLeast"/>
          <w:tblHeader/>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序号</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仿宋_GB2312" w:hAnsi="仿宋_GB2312" w:eastAsia="仿宋_GB2312" w:cs="仿宋_GB2312"/>
                <w:b/>
                <w:bCs/>
                <w:color w:val="000000"/>
                <w:sz w:val="28"/>
                <w:szCs w:val="28"/>
              </w:rPr>
            </w:pPr>
            <w:r>
              <w:rPr>
                <w:rFonts w:hint="eastAsia" w:ascii="仿宋_GB2312" w:hAnsi="仿宋_GB2312" w:eastAsia="仿宋_GB2312" w:cs="仿宋_GB2312"/>
                <w:b/>
                <w:bCs/>
                <w:sz w:val="28"/>
                <w:szCs w:val="28"/>
                <w:lang w:val="en-US" w:eastAsia="zh-CN"/>
              </w:rPr>
              <w:t>产品</w:t>
            </w:r>
            <w:r>
              <w:rPr>
                <w:rFonts w:hint="eastAsia" w:ascii="仿宋_GB2312" w:hAnsi="仿宋_GB2312" w:eastAsia="仿宋_GB2312" w:cs="仿宋_GB2312"/>
                <w:b/>
                <w:bCs/>
                <w:sz w:val="28"/>
                <w:szCs w:val="28"/>
              </w:rPr>
              <w:t>名称</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color w:val="000000"/>
                <w:kern w:val="0"/>
                <w:sz w:val="28"/>
                <w:szCs w:val="28"/>
                <w:lang w:eastAsia="zh-CN" w:bidi="ar"/>
              </w:rPr>
              <w:t>规格型号</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default" w:ascii="仿宋_GB2312" w:hAnsi="仿宋_GB2312" w:eastAsia="仿宋_GB2312" w:cs="仿宋_GB2312"/>
                <w:b/>
                <w:bCs/>
                <w:color w:val="000000"/>
                <w:sz w:val="28"/>
                <w:szCs w:val="28"/>
              </w:rPr>
            </w:pPr>
            <w:r>
              <w:rPr>
                <w:rFonts w:hint="eastAsia" w:ascii="仿宋_GB2312" w:hAnsi="仿宋_GB2312" w:eastAsia="仿宋_GB2312" w:cs="仿宋_GB2312"/>
                <w:b/>
                <w:bCs/>
                <w:sz w:val="28"/>
                <w:szCs w:val="28"/>
              </w:rPr>
              <w:t>单位</w:t>
            </w:r>
          </w:p>
        </w:tc>
        <w:tc>
          <w:tcPr>
            <w:tcW w:w="24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不含税上限单</w:t>
            </w:r>
            <w:r>
              <w:rPr>
                <w:rFonts w:hint="eastAsia" w:ascii="仿宋_GB2312" w:hAnsi="仿宋_GB2312" w:eastAsia="仿宋_GB2312" w:cs="仿宋_GB2312"/>
                <w:b/>
                <w:bCs/>
                <w:color w:val="000000"/>
                <w:sz w:val="28"/>
                <w:szCs w:val="28"/>
                <w:lang w:eastAsia="zh-CN"/>
              </w:rPr>
              <w:t>价</w:t>
            </w:r>
            <w:r>
              <w:rPr>
                <w:rFonts w:hint="eastAsia" w:ascii="仿宋_GB2312" w:hAnsi="仿宋_GB2312" w:eastAsia="仿宋_GB2312" w:cs="仿宋_GB2312"/>
                <w:b/>
                <w:bCs/>
                <w:color w:val="000000"/>
                <w:sz w:val="28"/>
                <w:szCs w:val="28"/>
              </w:rPr>
              <w:t>（元）</w:t>
            </w:r>
          </w:p>
        </w:tc>
      </w:tr>
      <w:tr>
        <w:tblPrEx>
          <w:tblCellMar>
            <w:top w:w="15" w:type="dxa"/>
            <w:left w:w="15" w:type="dxa"/>
            <w:bottom w:w="15" w:type="dxa"/>
            <w:right w:w="15" w:type="dxa"/>
          </w:tblCellMar>
        </w:tblPrEx>
        <w:trPr>
          <w:trHeight w:val="943" w:hRule="atLeast"/>
          <w:tblHeader/>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b w:val="0"/>
                <w:bCs/>
                <w:sz w:val="28"/>
                <w:szCs w:val="28"/>
                <w:lang w:val="en-US" w:eastAsia="zh-CN"/>
              </w:rPr>
              <w:t>1</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239" w:leftChars="0" w:right="0"/>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3003-</w:t>
            </w:r>
            <w:r>
              <w:rPr>
                <w:rFonts w:hint="eastAsia" w:ascii="仿宋_GB2312" w:hAnsi="仿宋_GB2312" w:eastAsia="仿宋_GB2312" w:cs="仿宋_GB2312"/>
                <w:sz w:val="28"/>
                <w:szCs w:val="28"/>
              </w:rPr>
              <w:t>H24</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239" w:leftChars="0" w:right="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铝板</w:t>
            </w:r>
            <w:r>
              <w:rPr>
                <w:rFonts w:hint="eastAsia" w:ascii="仿宋_GB2312" w:hAnsi="仿宋_GB2312" w:eastAsia="仿宋_GB2312" w:cs="仿宋_GB2312"/>
                <w:b w:val="0"/>
                <w:bCs/>
                <w:sz w:val="28"/>
                <w:szCs w:val="28"/>
                <w:lang w:val="en-US" w:eastAsia="zh-CN"/>
              </w:rPr>
              <w:t>（国标）</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sz w:val="28"/>
                <w:szCs w:val="28"/>
              </w:rPr>
              <w:t>长 2500mm× 宽 1600mm× 厚 2.35mm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块</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733.28 </w:t>
            </w:r>
          </w:p>
        </w:tc>
      </w:tr>
      <w:tr>
        <w:tblPrEx>
          <w:tblCellMar>
            <w:top w:w="15" w:type="dxa"/>
            <w:left w:w="15" w:type="dxa"/>
            <w:bottom w:w="15" w:type="dxa"/>
            <w:right w:w="15" w:type="dxa"/>
          </w:tblCellMar>
        </w:tblPrEx>
        <w:trPr>
          <w:trHeight w:val="810" w:hRule="atLeast"/>
          <w:tblHeader/>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color w:val="000000"/>
                <w:kern w:val="0"/>
                <w:sz w:val="28"/>
                <w:szCs w:val="28"/>
                <w:lang w:bidi="ar"/>
              </w:rPr>
            </w:pPr>
            <w:r>
              <w:rPr>
                <w:rFonts w:hint="eastAsia" w:ascii="仿宋_GB2312" w:hAnsi="仿宋_GB2312" w:eastAsia="仿宋_GB2312" w:cs="仿宋_GB2312"/>
                <w:b w:val="0"/>
                <w:bCs/>
                <w:sz w:val="28"/>
                <w:szCs w:val="28"/>
                <w:lang w:val="en-US" w:eastAsia="zh-CN"/>
              </w:rPr>
              <w:t>2</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6063-T5 </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color w:val="auto"/>
                <w:kern w:val="0"/>
                <w:sz w:val="28"/>
                <w:szCs w:val="28"/>
                <w:lang w:bidi="ar"/>
              </w:rPr>
            </w:pPr>
            <w:r>
              <w:rPr>
                <w:rFonts w:hint="eastAsia" w:ascii="仿宋_GB2312" w:hAnsi="仿宋_GB2312" w:eastAsia="仿宋_GB2312" w:cs="仿宋_GB2312"/>
                <w:b w:val="0"/>
                <w:bCs/>
                <w:sz w:val="28"/>
                <w:szCs w:val="28"/>
                <w:lang w:val="en-US" w:eastAsia="zh-CN"/>
              </w:rPr>
              <w:t>铝槽（国标）</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sz w:val="28"/>
                <w:szCs w:val="28"/>
              </w:rPr>
              <w:t>65#，长 6000mm，壁厚 2.5mm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条</w:t>
            </w:r>
          </w:p>
        </w:tc>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i w:val="0"/>
                <w:iCs w:val="0"/>
                <w:color w:val="000000"/>
                <w:kern w:val="0"/>
                <w:sz w:val="28"/>
                <w:szCs w:val="28"/>
                <w:u w:val="none"/>
                <w:lang w:val="en-US" w:eastAsia="zh-CN" w:bidi="ar"/>
              </w:rPr>
              <w:t xml:space="preserve">154.87 </w:t>
            </w:r>
          </w:p>
        </w:tc>
      </w:tr>
    </w:tbl>
    <w:p>
      <w:pPr>
        <w:widowControl/>
        <w:autoSpaceDN w:val="0"/>
        <w:spacing w:line="360" w:lineRule="auto"/>
        <w:ind w:firstLine="536" w:firstLineChars="200"/>
        <w:rPr>
          <w:rFonts w:hint="eastAsia" w:ascii="仿宋_GB2312" w:hAnsi="仿宋_GB2312" w:eastAsia="仿宋_GB2312" w:cs="仿宋_GB2312"/>
          <w:b w:val="0"/>
          <w:bCs w:val="0"/>
          <w:spacing w:val="-6"/>
          <w:kern w:val="0"/>
          <w:sz w:val="28"/>
          <w:szCs w:val="28"/>
          <w:lang w:val="en-US" w:eastAsia="zh-CN"/>
        </w:rPr>
      </w:pPr>
      <w:r>
        <w:rPr>
          <w:rFonts w:hint="eastAsia" w:ascii="仿宋_GB2312" w:hAnsi="仿宋_GB2312" w:eastAsia="仿宋_GB2312" w:cs="仿宋_GB2312"/>
          <w:b w:val="0"/>
          <w:bCs w:val="0"/>
          <w:spacing w:val="-6"/>
          <w:kern w:val="0"/>
          <w:sz w:val="28"/>
          <w:szCs w:val="28"/>
          <w:lang w:val="en-US" w:eastAsia="zh-CN"/>
        </w:rPr>
        <w:t>项目含税总价金额</w:t>
      </w:r>
      <w:r>
        <w:rPr>
          <w:rFonts w:hint="eastAsia" w:ascii="仿宋_GB2312" w:hAnsi="仿宋_GB2312" w:eastAsia="仿宋_GB2312" w:cs="仿宋_GB2312"/>
          <w:b w:val="0"/>
          <w:bCs w:val="0"/>
          <w:spacing w:val="-6"/>
          <w:kern w:val="0"/>
          <w:sz w:val="28"/>
          <w:szCs w:val="28"/>
        </w:rPr>
        <w:t>（人民币）</w:t>
      </w:r>
      <w:r>
        <w:rPr>
          <w:rFonts w:hint="eastAsia" w:ascii="仿宋_GB2312" w:hAnsi="仿宋_GB2312" w:eastAsia="仿宋_GB2312" w:cs="仿宋_GB2312"/>
          <w:b w:val="0"/>
          <w:bCs w:val="0"/>
          <w:spacing w:val="-6"/>
          <w:kern w:val="0"/>
          <w:sz w:val="28"/>
          <w:szCs w:val="28"/>
          <w:lang w:eastAsia="zh-CN"/>
        </w:rPr>
        <w:t>：</w:t>
      </w:r>
      <w:r>
        <w:rPr>
          <w:rFonts w:hint="eastAsia" w:ascii="仿宋_GB2312" w:hAnsi="仿宋_GB2312" w:eastAsia="仿宋_GB2312" w:cs="仿宋_GB2312"/>
          <w:b w:val="0"/>
          <w:bCs w:val="0"/>
          <w:spacing w:val="-6"/>
          <w:kern w:val="0"/>
          <w:sz w:val="28"/>
          <w:szCs w:val="28"/>
        </w:rPr>
        <w:t>（大写）</w:t>
      </w:r>
      <w:r>
        <w:rPr>
          <w:rFonts w:hint="eastAsia" w:ascii="仿宋_GB2312" w:hAnsi="仿宋_GB2312" w:eastAsia="仿宋_GB2312" w:cs="仿宋_GB2312"/>
          <w:b w:val="0"/>
          <w:bCs w:val="0"/>
          <w:spacing w:val="-6"/>
          <w:kern w:val="0"/>
          <w:sz w:val="28"/>
          <w:szCs w:val="28"/>
          <w:lang w:val="en-US" w:eastAsia="zh-CN"/>
        </w:rPr>
        <w:t>壹拾伍万玖仟贰佰玖拾壹元伍角陆分</w:t>
      </w:r>
    </w:p>
    <w:p>
      <w:pPr>
        <w:autoSpaceDE w:val="0"/>
        <w:autoSpaceDN w:val="0"/>
        <w:adjustRightInd w:val="0"/>
        <w:ind w:firstLine="4288" w:firstLineChars="1600"/>
        <w:rPr>
          <w:rFonts w:hint="default" w:ascii="仿宋_GB2312" w:hAnsi="仿宋_GB2312" w:eastAsia="仿宋_GB2312" w:cs="仿宋_GB2312"/>
          <w:b w:val="0"/>
          <w:bCs w:val="0"/>
          <w:spacing w:val="-6"/>
          <w:kern w:val="0"/>
          <w:sz w:val="28"/>
          <w:szCs w:val="28"/>
          <w:lang w:val="en-US" w:eastAsia="zh-CN"/>
        </w:rPr>
      </w:pPr>
      <w:r>
        <w:rPr>
          <w:rFonts w:hint="eastAsia" w:ascii="仿宋_GB2312" w:hAnsi="仿宋_GB2312" w:eastAsia="仿宋_GB2312" w:cs="仿宋_GB2312"/>
          <w:b w:val="0"/>
          <w:bCs w:val="0"/>
          <w:spacing w:val="-6"/>
          <w:kern w:val="0"/>
          <w:sz w:val="28"/>
          <w:szCs w:val="28"/>
        </w:rPr>
        <w:t xml:space="preserve">（小写）¥ </w:t>
      </w:r>
      <w:r>
        <w:rPr>
          <w:rFonts w:hint="eastAsia" w:ascii="仿宋_GB2312" w:hAnsi="仿宋_GB2312" w:eastAsia="仿宋_GB2312" w:cs="仿宋_GB2312"/>
          <w:kern w:val="0"/>
          <w:sz w:val="28"/>
          <w:szCs w:val="28"/>
          <w:lang w:val="en-US" w:eastAsia="zh-CN"/>
        </w:rPr>
        <w:t>159,291.56</w:t>
      </w:r>
      <w:r>
        <w:rPr>
          <w:rFonts w:hint="eastAsia" w:ascii="仿宋_GB2312" w:hAnsi="仿宋_GB2312" w:eastAsia="仿宋_GB2312" w:cs="仿宋_GB2312"/>
          <w:b w:val="0"/>
          <w:bCs w:val="0"/>
          <w:spacing w:val="-6"/>
          <w:kern w:val="0"/>
          <w:sz w:val="28"/>
          <w:szCs w:val="28"/>
          <w:lang w:val="en-US" w:eastAsia="zh-CN"/>
        </w:rPr>
        <w:t>元</w:t>
      </w:r>
      <w:r>
        <w:rPr>
          <w:rFonts w:hint="eastAsia" w:ascii="仿宋_GB2312" w:hAnsi="仿宋_GB2312" w:eastAsia="仿宋_GB2312" w:cs="仿宋_GB2312"/>
          <w:b w:val="0"/>
          <w:bCs w:val="0"/>
          <w:spacing w:val="-6"/>
          <w:kern w:val="0"/>
          <w:sz w:val="28"/>
          <w:szCs w:val="28"/>
        </w:rPr>
        <w:t>（</w:t>
      </w:r>
      <w:r>
        <w:rPr>
          <w:rFonts w:hint="eastAsia" w:ascii="仿宋_GB2312" w:hAnsi="仿宋_GB2312" w:eastAsia="仿宋_GB2312" w:cs="仿宋_GB2312"/>
          <w:b w:val="0"/>
          <w:bCs w:val="0"/>
          <w:spacing w:val="-6"/>
          <w:kern w:val="0"/>
          <w:sz w:val="28"/>
          <w:szCs w:val="28"/>
          <w:lang w:eastAsia="zh-CN"/>
        </w:rPr>
        <w:t>税率</w:t>
      </w:r>
      <w:r>
        <w:rPr>
          <w:rFonts w:hint="eastAsia" w:ascii="仿宋_GB2312" w:hAnsi="仿宋_GB2312" w:eastAsia="仿宋_GB2312" w:cs="仿宋_GB2312"/>
          <w:b w:val="0"/>
          <w:bCs w:val="0"/>
          <w:spacing w:val="-6"/>
          <w:kern w:val="0"/>
          <w:sz w:val="28"/>
          <w:szCs w:val="28"/>
        </w:rPr>
        <w:t>暂</w:t>
      </w:r>
      <w:r>
        <w:rPr>
          <w:rFonts w:hint="eastAsia" w:ascii="仿宋_GB2312" w:hAnsi="仿宋_GB2312" w:eastAsia="仿宋_GB2312" w:cs="仿宋_GB2312"/>
          <w:b w:val="0"/>
          <w:bCs w:val="0"/>
          <w:spacing w:val="-6"/>
          <w:kern w:val="0"/>
          <w:sz w:val="28"/>
          <w:szCs w:val="28"/>
          <w:lang w:eastAsia="zh-CN"/>
        </w:rPr>
        <w:t>按</w:t>
      </w:r>
      <w:r>
        <w:rPr>
          <w:rFonts w:hint="eastAsia" w:ascii="仿宋_GB2312" w:hAnsi="仿宋_GB2312" w:eastAsia="仿宋_GB2312" w:cs="仿宋_GB2312"/>
          <w:b w:val="0"/>
          <w:bCs w:val="0"/>
          <w:spacing w:val="-6"/>
          <w:kern w:val="0"/>
          <w:sz w:val="28"/>
          <w:szCs w:val="28"/>
          <w:lang w:val="en-US" w:eastAsia="zh-CN"/>
        </w:rPr>
        <w:t>13</w:t>
      </w:r>
      <w:r>
        <w:rPr>
          <w:rFonts w:hint="eastAsia" w:ascii="仿宋_GB2312" w:hAnsi="仿宋_GB2312" w:eastAsia="仿宋_GB2312" w:cs="仿宋_GB2312"/>
          <w:b w:val="0"/>
          <w:bCs w:val="0"/>
          <w:spacing w:val="-6"/>
          <w:kern w:val="0"/>
          <w:sz w:val="28"/>
          <w:szCs w:val="28"/>
        </w:rPr>
        <w:t>%</w:t>
      </w:r>
      <w:r>
        <w:rPr>
          <w:rFonts w:hint="eastAsia" w:ascii="仿宋_GB2312" w:hAnsi="仿宋_GB2312" w:eastAsia="仿宋_GB2312" w:cs="仿宋_GB2312"/>
          <w:b w:val="0"/>
          <w:bCs w:val="0"/>
          <w:spacing w:val="-6"/>
          <w:kern w:val="0"/>
          <w:sz w:val="28"/>
          <w:szCs w:val="28"/>
          <w:lang w:eastAsia="zh-CN"/>
        </w:rPr>
        <w:t>计算</w:t>
      </w:r>
      <w:r>
        <w:rPr>
          <w:rFonts w:hint="eastAsia" w:ascii="仿宋_GB2312" w:hAnsi="仿宋_GB2312" w:eastAsia="仿宋_GB2312" w:cs="仿宋_GB2312"/>
          <w:b w:val="0"/>
          <w:bCs w:val="0"/>
          <w:spacing w:val="-6"/>
          <w:kern w:val="0"/>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560" w:firstLineChars="200"/>
        <w:jc w:val="left"/>
        <w:textAlignment w:val="auto"/>
        <w:outlineLvl w:val="9"/>
        <w:rPr>
          <w:rFonts w:ascii="仿宋_GB2312" w:hAnsi="仿宋_GB2312" w:eastAsia="仿宋_GB2312" w:cs="仿宋_GB2312"/>
          <w:spacing w:val="-6"/>
          <w:kern w:val="0"/>
          <w:sz w:val="28"/>
          <w:szCs w:val="28"/>
        </w:rPr>
      </w:pPr>
      <w:r>
        <w:rPr>
          <w:rFonts w:hint="eastAsia" w:ascii="仿宋_GB2312" w:hAnsi="仿宋_GB2312" w:eastAsia="仿宋_GB2312" w:cs="仿宋_GB2312"/>
          <w:sz w:val="28"/>
          <w:szCs w:val="28"/>
        </w:rPr>
        <w:t>本项目要求采用</w:t>
      </w:r>
      <w:r>
        <w:rPr>
          <w:rFonts w:hint="eastAsia" w:ascii="仿宋_GB2312" w:hAnsi="仿宋_GB2312" w:eastAsia="仿宋_GB2312" w:cs="仿宋_GB2312"/>
          <w:sz w:val="28"/>
          <w:szCs w:val="28"/>
          <w:lang w:eastAsia="zh-CN"/>
        </w:rPr>
        <w:t>税前单价</w:t>
      </w:r>
      <w:r>
        <w:rPr>
          <w:rFonts w:hint="eastAsia" w:ascii="仿宋_GB2312" w:hAnsi="仿宋_GB2312" w:eastAsia="仿宋_GB2312" w:cs="仿宋_GB2312"/>
          <w:sz w:val="28"/>
          <w:szCs w:val="28"/>
        </w:rPr>
        <w:t>折</w:t>
      </w:r>
      <w:r>
        <w:rPr>
          <w:rFonts w:hint="eastAsia" w:ascii="仿宋_GB2312" w:hAnsi="仿宋_GB2312" w:eastAsia="仿宋_GB2312" w:cs="仿宋_GB2312"/>
          <w:sz w:val="28"/>
          <w:szCs w:val="28"/>
          <w:lang w:eastAsia="zh-CN"/>
        </w:rPr>
        <w:t>率</w:t>
      </w:r>
      <w:r>
        <w:rPr>
          <w:rFonts w:hint="eastAsia" w:ascii="仿宋_GB2312" w:hAnsi="仿宋_GB2312" w:eastAsia="仿宋_GB2312" w:cs="仿宋_GB2312"/>
          <w:sz w:val="28"/>
          <w:szCs w:val="28"/>
        </w:rPr>
        <w:t>报价</w:t>
      </w:r>
      <w:r>
        <w:rPr>
          <w:rFonts w:hint="eastAsia" w:ascii="仿宋_GB2312" w:hAnsi="仿宋_GB2312" w:eastAsia="仿宋_GB2312" w:cs="仿宋_GB2312"/>
          <w:sz w:val="28"/>
          <w:szCs w:val="28"/>
          <w:lang w:eastAsia="zh-CN"/>
        </w:rPr>
        <w:t>方式</w:t>
      </w:r>
      <w:r>
        <w:rPr>
          <w:rFonts w:hint="eastAsia" w:ascii="仿宋_GB2312" w:hAnsi="仿宋_GB2312" w:eastAsia="仿宋_GB2312" w:cs="仿宋_GB2312"/>
          <w:sz w:val="28"/>
          <w:szCs w:val="28"/>
        </w:rPr>
        <w:t>，报价范围：</w:t>
      </w:r>
      <w:r>
        <w:rPr>
          <w:rFonts w:ascii="仿宋_GB2312" w:hAnsi="仿宋_GB2312" w:eastAsia="仿宋_GB2312" w:cs="仿宋_GB2312"/>
          <w:b/>
          <w:bCs/>
          <w:sz w:val="28"/>
          <w:szCs w:val="28"/>
        </w:rPr>
        <w:t>0%</w:t>
      </w:r>
      <w:r>
        <w:rPr>
          <w:rFonts w:hint="eastAsia" w:ascii="仿宋_GB2312" w:hAnsi="仿宋_GB2312" w:eastAsia="仿宋_GB2312" w:cs="仿宋_GB2312"/>
          <w:b/>
          <w:bCs/>
          <w:sz w:val="28"/>
          <w:szCs w:val="28"/>
        </w:rPr>
        <w:t>≤折</w:t>
      </w:r>
      <w:r>
        <w:rPr>
          <w:rFonts w:hint="eastAsia" w:ascii="仿宋_GB2312" w:hAnsi="仿宋_GB2312" w:eastAsia="仿宋_GB2312" w:cs="仿宋_GB2312"/>
          <w:b/>
          <w:bCs/>
          <w:sz w:val="28"/>
          <w:szCs w:val="28"/>
          <w:lang w:eastAsia="zh-CN"/>
        </w:rPr>
        <w:t>率</w:t>
      </w:r>
      <w:r>
        <w:rPr>
          <w:rFonts w:hint="eastAsia" w:ascii="仿宋_GB2312" w:hAnsi="仿宋_GB2312" w:eastAsia="仿宋_GB2312" w:cs="仿宋_GB2312"/>
          <w:b/>
          <w:bCs/>
          <w:sz w:val="28"/>
          <w:szCs w:val="28"/>
        </w:rPr>
        <w:t>≤</w:t>
      </w:r>
      <w:r>
        <w:rPr>
          <w:rFonts w:ascii="仿宋_GB2312" w:hAnsi="仿宋_GB2312" w:eastAsia="仿宋_GB2312" w:cs="仿宋_GB2312"/>
          <w:b/>
          <w:bCs/>
          <w:sz w:val="28"/>
          <w:szCs w:val="28"/>
        </w:rPr>
        <w:t>100.00%</w:t>
      </w:r>
      <w:r>
        <w:rPr>
          <w:rFonts w:hint="eastAsia" w:ascii="仿宋_GB2312" w:hAnsi="仿宋_GB2312" w:eastAsia="仿宋_GB2312" w:cs="仿宋_GB2312"/>
          <w:b/>
          <w:bCs/>
          <w:sz w:val="28"/>
          <w:szCs w:val="28"/>
          <w:lang w:eastAsia="zh-CN"/>
        </w:rPr>
        <w:t>，</w:t>
      </w:r>
      <w:r>
        <w:rPr>
          <w:rFonts w:hint="eastAsia" w:ascii="仿宋_GB2312" w:hAnsi="仿宋" w:eastAsia="仿宋_GB2312"/>
          <w:spacing w:val="-6"/>
          <w:kern w:val="0"/>
          <w:sz w:val="28"/>
          <w:szCs w:val="28"/>
        </w:rPr>
        <w:t>高于项目限价或超出项目报价范围的报价为无效报价</w:t>
      </w:r>
      <w:r>
        <w:rPr>
          <w:rFonts w:hint="eastAsia" w:ascii="仿宋_GB2312" w:hAnsi="仿宋_GB2312" w:eastAsia="仿宋_GB2312" w:cs="仿宋_GB2312"/>
          <w:b w:val="0"/>
          <w:bCs w:val="0"/>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36" w:firstLineChars="200"/>
        <w:textAlignment w:val="auto"/>
        <w:rPr>
          <w:rFonts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注：报价</w:t>
      </w:r>
      <w:r>
        <w:rPr>
          <w:rFonts w:hint="eastAsia" w:ascii="仿宋_GB2312" w:hAnsi="宋体" w:eastAsia="仿宋_GB2312"/>
          <w:spacing w:val="-6"/>
          <w:kern w:val="0"/>
          <w:sz w:val="28"/>
          <w:szCs w:val="28"/>
        </w:rPr>
        <w:t>包括但</w:t>
      </w:r>
      <w:r>
        <w:rPr>
          <w:rFonts w:hint="eastAsia" w:ascii="仿宋_GB2312" w:hAnsi="仿宋" w:eastAsia="仿宋_GB2312"/>
          <w:spacing w:val="-6"/>
          <w:kern w:val="0"/>
          <w:sz w:val="28"/>
          <w:szCs w:val="28"/>
        </w:rPr>
        <w:t>不限于货物的采购、包装、搬运、现场技术指导、装卸、保险、检验、验收以及提供的相关服务（如培训、售后、运维）和企业管理费、利润、税费等一切完成本项目发生的可预见和不可预见的费用</w:t>
      </w:r>
      <w:r>
        <w:rPr>
          <w:rFonts w:hint="eastAsia" w:ascii="仿宋_GB2312" w:hAnsi="仿宋_GB2312" w:eastAsia="仿宋_GB2312" w:cs="仿宋_GB2312"/>
          <w:spacing w:val="-6"/>
          <w:kern w:val="0"/>
          <w:sz w:val="28"/>
          <w:szCs w:val="28"/>
        </w:rPr>
        <w:t>。</w:t>
      </w:r>
    </w:p>
    <w:p>
      <w:pPr>
        <w:keepNext w:val="0"/>
        <w:keepLines w:val="0"/>
        <w:pageBreakBefore w:val="0"/>
        <w:kinsoku/>
        <w:wordWrap/>
        <w:overflowPunct/>
        <w:topLinePunct w:val="0"/>
        <w:bidi w:val="0"/>
        <w:snapToGrid/>
        <w:spacing w:line="600" w:lineRule="exact"/>
        <w:rPr>
          <w:rFonts w:hint="eastAsia" w:ascii="仿宋_GB2312" w:hAnsi="仿宋_GB2312" w:eastAsia="仿宋_GB2312" w:cs="仿宋_GB2312"/>
          <w:color w:val="auto"/>
          <w:spacing w:val="-6"/>
          <w:kern w:val="0"/>
          <w:sz w:val="28"/>
          <w:szCs w:val="28"/>
        </w:rPr>
      </w:pPr>
      <w:r>
        <w:rPr>
          <w:rFonts w:hint="eastAsia" w:ascii="黑体" w:hAnsi="黑体" w:eastAsia="黑体" w:cs="黑体"/>
          <w:b/>
          <w:bCs/>
          <w:color w:val="auto"/>
          <w:sz w:val="28"/>
          <w:szCs w:val="28"/>
          <w:lang w:val="en-US" w:eastAsia="zh-CN"/>
        </w:rPr>
        <w:t>十二</w:t>
      </w:r>
      <w:r>
        <w:rPr>
          <w:rFonts w:hint="eastAsia" w:ascii="黑体" w:hAnsi="黑体" w:eastAsia="黑体" w:cs="黑体"/>
          <w:b/>
          <w:bCs/>
          <w:color w:val="auto"/>
          <w:sz w:val="28"/>
          <w:szCs w:val="28"/>
        </w:rPr>
        <w:t>、报价资料清单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（一）报价单位营业执照副本复印件</w:t>
      </w:r>
      <w:r>
        <w:rPr>
          <w:rFonts w:hint="eastAsia" w:ascii="仿宋_GB2312" w:hAnsi="仿宋_GB2312" w:eastAsia="仿宋_GB2312" w:cs="仿宋_GB2312"/>
          <w:color w:val="auto"/>
          <w:sz w:val="28"/>
          <w:szCs w:val="28"/>
          <w:lang w:val="en-US" w:eastAsia="zh-CN"/>
        </w:rPr>
        <w:t>（格式详见附件1）</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（二）</w:t>
      </w:r>
      <w:r>
        <w:rPr>
          <w:rFonts w:hint="eastAsia" w:ascii="仿宋_GB2312" w:hAnsi="仿宋_GB2312" w:eastAsia="仿宋_GB2312" w:cs="仿宋_GB2312"/>
          <w:color w:val="auto"/>
          <w:sz w:val="28"/>
          <w:szCs w:val="28"/>
          <w:lang w:val="en-US" w:eastAsia="zh-CN"/>
        </w:rPr>
        <w:t>诚信承诺书（格式详见附件2）</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（三）项目报价一览表（格式详见附件</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w:t>
      </w:r>
    </w:p>
    <w:p>
      <w:pPr>
        <w:widowControl/>
        <w:autoSpaceDN w:val="0"/>
        <w:adjustRightInd w:val="0"/>
        <w:spacing w:line="560" w:lineRule="exact"/>
        <w:ind w:firstLine="560" w:firstLineChars="200"/>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lang w:eastAsia="zh-CN"/>
        </w:rPr>
        <w:t>（四）</w:t>
      </w:r>
      <w:r>
        <w:rPr>
          <w:rFonts w:hint="eastAsia" w:ascii="仿宋_GB2312" w:hAnsi="仿宋_GB2312" w:eastAsia="仿宋_GB2312" w:cs="仿宋_GB2312"/>
          <w:kern w:val="0"/>
          <w:sz w:val="28"/>
          <w:szCs w:val="28"/>
        </w:rPr>
        <w:t>折率后各项目报价表</w:t>
      </w:r>
      <w:r>
        <w:rPr>
          <w:rFonts w:hint="eastAsia" w:ascii="仿宋_GB2312" w:hAnsi="仿宋_GB2312" w:eastAsia="仿宋_GB2312" w:cs="仿宋_GB2312"/>
          <w:sz w:val="28"/>
          <w:szCs w:val="28"/>
        </w:rPr>
        <w:t>（格式详见附件</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p>
    <w:p>
      <w:pPr>
        <w:widowControl/>
        <w:autoSpaceDN w:val="0"/>
        <w:adjustRightInd w:val="0"/>
        <w:spacing w:line="560" w:lineRule="exac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eastAsia="zh-CN"/>
        </w:rPr>
        <w:t>（五）</w:t>
      </w:r>
      <w:r>
        <w:rPr>
          <w:rFonts w:hint="eastAsia" w:ascii="仿宋_GB2312" w:hAnsi="仿宋_GB2312" w:eastAsia="仿宋_GB2312" w:cs="仿宋_GB2312"/>
          <w:color w:val="auto"/>
          <w:kern w:val="0"/>
          <w:sz w:val="28"/>
          <w:szCs w:val="28"/>
        </w:rPr>
        <w:t>其他相关文件（若有）</w:t>
      </w:r>
      <w:r>
        <w:rPr>
          <w:rFonts w:hint="eastAsia" w:ascii="仿宋_GB2312" w:hAnsi="仿宋_GB2312" w:eastAsia="仿宋_GB2312" w:cs="仿宋_GB2312"/>
          <w:color w:val="auto"/>
          <w:sz w:val="28"/>
          <w:szCs w:val="28"/>
          <w:lang w:val="en-US" w:eastAsia="zh-CN"/>
        </w:rPr>
        <w:t>（格式详见附件5）</w:t>
      </w:r>
    </w:p>
    <w:p>
      <w:pPr>
        <w:pageBreakBefore w:val="0"/>
        <w:tabs>
          <w:tab w:val="left" w:pos="567"/>
        </w:tabs>
        <w:kinsoku/>
        <w:wordWrap/>
        <w:overflowPunct/>
        <w:topLinePunct w:val="0"/>
        <w:bidi w:val="0"/>
        <w:snapToGrid/>
        <w:spacing w:line="560" w:lineRule="exact"/>
        <w:ind w:firstLine="281" w:firstLineChars="100"/>
        <w:rPr>
          <w:rFonts w:hint="eastAsia" w:ascii="仿宋_GB2312" w:hAnsi="仿宋_GB2312" w:eastAsia="仿宋_GB2312" w:cs="仿宋_GB2312"/>
          <w:b/>
          <w:bCs/>
          <w:color w:val="auto"/>
          <w:kern w:val="0"/>
          <w:sz w:val="28"/>
          <w:szCs w:val="28"/>
          <w:lang w:val="en-US" w:eastAsia="zh-CN"/>
        </w:rPr>
      </w:pPr>
      <w:r>
        <w:rPr>
          <w:rFonts w:hint="eastAsia" w:ascii="仿宋_GB2312" w:hAnsi="仿宋_GB2312" w:eastAsia="仿宋_GB2312" w:cs="仿宋_GB2312"/>
          <w:b/>
          <w:bCs/>
          <w:color w:val="auto"/>
          <w:kern w:val="0"/>
          <w:sz w:val="28"/>
          <w:szCs w:val="28"/>
        </w:rPr>
        <w:t>注:①以上资料按照相关要求上传至优盟平台交易系统</w:t>
      </w:r>
      <w:r>
        <w:rPr>
          <w:rFonts w:hint="eastAsia" w:ascii="仿宋_GB2312" w:hAnsi="仿宋_GB2312" w:eastAsia="仿宋_GB2312" w:cs="仿宋_GB2312"/>
          <w:b/>
          <w:bCs/>
          <w:color w:val="auto"/>
          <w:kern w:val="0"/>
          <w:sz w:val="28"/>
          <w:szCs w:val="28"/>
          <w:lang w:val="en-US" w:eastAsia="zh-CN"/>
        </w:rPr>
        <w:t>；</w:t>
      </w:r>
    </w:p>
    <w:p>
      <w:pPr>
        <w:pageBreakBefore w:val="0"/>
        <w:tabs>
          <w:tab w:val="left" w:pos="567"/>
        </w:tabs>
        <w:kinsoku/>
        <w:wordWrap/>
        <w:overflowPunct/>
        <w:topLinePunct w:val="0"/>
        <w:bidi w:val="0"/>
        <w:snapToGrid/>
        <w:spacing w:line="560" w:lineRule="exact"/>
        <w:ind w:firstLine="562" w:firstLineChars="200"/>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②以上(二)、(三)</w:t>
      </w:r>
      <w:r>
        <w:rPr>
          <w:rFonts w:hint="eastAsia" w:ascii="仿宋_GB2312" w:hAnsi="仿宋_GB2312" w:eastAsia="仿宋_GB2312" w:cs="仿宋_GB2312"/>
          <w:b/>
          <w:bCs/>
          <w:color w:val="auto"/>
          <w:kern w:val="0"/>
          <w:sz w:val="28"/>
          <w:szCs w:val="28"/>
          <w:lang w:eastAsia="zh-CN"/>
        </w:rPr>
        <w:t>、（四）</w:t>
      </w:r>
      <w:r>
        <w:rPr>
          <w:rFonts w:hint="eastAsia" w:ascii="仿宋_GB2312" w:hAnsi="仿宋_GB2312" w:eastAsia="仿宋_GB2312" w:cs="仿宋_GB2312"/>
          <w:b/>
          <w:bCs/>
          <w:color w:val="auto"/>
          <w:kern w:val="0"/>
          <w:sz w:val="28"/>
          <w:szCs w:val="28"/>
        </w:rPr>
        <w:t>资料报价单位</w:t>
      </w:r>
      <w:r>
        <w:rPr>
          <w:rFonts w:hint="eastAsia" w:ascii="仿宋_GB2312" w:hAnsi="仿宋_GB2312" w:eastAsia="仿宋_GB2312" w:cs="仿宋_GB2312"/>
          <w:b/>
          <w:bCs/>
          <w:color w:val="auto"/>
          <w:kern w:val="0"/>
          <w:sz w:val="28"/>
          <w:szCs w:val="28"/>
          <w:lang w:val="en-US" w:eastAsia="zh-CN"/>
        </w:rPr>
        <w:t>须</w:t>
      </w:r>
      <w:r>
        <w:rPr>
          <w:rFonts w:hint="eastAsia" w:ascii="仿宋_GB2312" w:hAnsi="仿宋_GB2312" w:eastAsia="仿宋_GB2312" w:cs="仿宋_GB2312"/>
          <w:b/>
          <w:bCs/>
          <w:color w:val="auto"/>
          <w:kern w:val="0"/>
          <w:sz w:val="28"/>
          <w:szCs w:val="28"/>
        </w:rPr>
        <w:t>加盖公章</w:t>
      </w:r>
      <w:r>
        <w:rPr>
          <w:rFonts w:hint="eastAsia" w:ascii="仿宋_GB2312" w:hAnsi="仿宋_GB2312" w:eastAsia="仿宋_GB2312" w:cs="仿宋_GB2312"/>
          <w:b/>
          <w:bCs/>
          <w:color w:val="auto"/>
          <w:kern w:val="0"/>
          <w:sz w:val="28"/>
          <w:szCs w:val="28"/>
          <w:lang w:eastAsia="zh-CN"/>
        </w:rPr>
        <w:t>并</w:t>
      </w:r>
      <w:r>
        <w:rPr>
          <w:rFonts w:hint="eastAsia" w:ascii="仿宋_GB2312" w:hAnsi="仿宋_GB2312" w:eastAsia="仿宋_GB2312" w:cs="仿宋_GB2312"/>
          <w:b/>
          <w:bCs/>
          <w:color w:val="auto"/>
          <w:kern w:val="0"/>
          <w:sz w:val="28"/>
          <w:szCs w:val="28"/>
        </w:rPr>
        <w:t>上传至优盟平台交易系统，否则报价无效。</w:t>
      </w:r>
    </w:p>
    <w:p>
      <w:pPr>
        <w:pageBreakBefore w:val="0"/>
        <w:tabs>
          <w:tab w:val="left" w:pos="567"/>
        </w:tabs>
        <w:kinsoku/>
        <w:wordWrap/>
        <w:overflowPunct/>
        <w:topLinePunct w:val="0"/>
        <w:bidi w:val="0"/>
        <w:snapToGrid/>
        <w:spacing w:line="560" w:lineRule="exact"/>
        <w:rPr>
          <w:rFonts w:ascii="黑体" w:hAnsi="黑体" w:eastAsia="黑体" w:cs="黑体"/>
          <w:b/>
          <w:bCs/>
          <w:color w:val="auto"/>
          <w:sz w:val="28"/>
          <w:szCs w:val="28"/>
        </w:rPr>
      </w:pPr>
      <w:r>
        <w:rPr>
          <w:rFonts w:hint="eastAsia" w:ascii="黑体" w:hAnsi="黑体" w:eastAsia="黑体" w:cs="黑体"/>
          <w:b/>
          <w:bCs/>
          <w:color w:val="auto"/>
          <w:sz w:val="28"/>
          <w:szCs w:val="28"/>
        </w:rPr>
        <w:t>十</w:t>
      </w:r>
      <w:r>
        <w:rPr>
          <w:rFonts w:hint="eastAsia" w:ascii="黑体" w:hAnsi="黑体" w:eastAsia="黑体" w:cs="黑体"/>
          <w:b/>
          <w:bCs/>
          <w:color w:val="auto"/>
          <w:sz w:val="28"/>
          <w:szCs w:val="28"/>
          <w:lang w:val="en-US" w:eastAsia="zh-CN"/>
        </w:rPr>
        <w:t>三</w:t>
      </w:r>
      <w:r>
        <w:rPr>
          <w:rFonts w:hint="eastAsia" w:ascii="黑体" w:hAnsi="黑体" w:eastAsia="黑体" w:cs="黑体"/>
          <w:b/>
          <w:bCs/>
          <w:color w:val="auto"/>
          <w:sz w:val="28"/>
          <w:szCs w:val="28"/>
        </w:rPr>
        <w:t>、其他说明</w:t>
      </w:r>
    </w:p>
    <w:p>
      <w:pPr>
        <w:pageBreakBefore w:val="0"/>
        <w:tabs>
          <w:tab w:val="left" w:pos="567"/>
        </w:tabs>
        <w:kinsoku/>
        <w:wordWrap/>
        <w:overflowPunct/>
        <w:topLinePunct w:val="0"/>
        <w:autoSpaceDN w:val="0"/>
        <w:bidi w:val="0"/>
        <w:snapToGrid/>
        <w:spacing w:line="560" w:lineRule="exact"/>
        <w:ind w:firstLine="560" w:firstLineChars="200"/>
        <w:rPr>
          <w:rFonts w:ascii="仿宋_GB2312" w:hAnsi="仿宋_GB2312" w:eastAsia="仿宋_GB2312" w:cs="仿宋_GB2312"/>
          <w:color w:val="auto"/>
          <w:kern w:val="0"/>
          <w:sz w:val="28"/>
          <w:szCs w:val="28"/>
        </w:rPr>
      </w:pPr>
      <w:r>
        <w:rPr>
          <w:rFonts w:ascii="仿宋_GB2312" w:hAnsi="仿宋_GB2312" w:eastAsia="仿宋_GB2312" w:cs="仿宋_GB2312"/>
          <w:color w:val="auto"/>
          <w:kern w:val="0"/>
          <w:sz w:val="28"/>
          <w:szCs w:val="28"/>
        </w:rPr>
        <w:t>1.</w:t>
      </w:r>
      <w:r>
        <w:rPr>
          <w:rFonts w:hint="eastAsia" w:ascii="仿宋_GB2312" w:hAnsi="仿宋_GB2312" w:eastAsia="仿宋_GB2312" w:cs="仿宋_GB2312"/>
          <w:color w:val="auto"/>
          <w:kern w:val="0"/>
          <w:sz w:val="28"/>
          <w:szCs w:val="28"/>
        </w:rPr>
        <w:t>其余未尽事宜，以合同约定为准。本报价邀请函与合同约定不一致的，以合同为准。</w:t>
      </w:r>
    </w:p>
    <w:p>
      <w:pPr>
        <w:pageBreakBefore w:val="0"/>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ascii="仿宋_GB2312" w:hAnsi="仿宋_GB2312" w:eastAsia="仿宋_GB2312" w:cs="仿宋_GB2312"/>
          <w:color w:val="auto"/>
          <w:kern w:val="0"/>
          <w:sz w:val="28"/>
          <w:szCs w:val="28"/>
        </w:rPr>
        <w:t>2.</w:t>
      </w:r>
      <w:r>
        <w:rPr>
          <w:rFonts w:hint="eastAsia" w:ascii="仿宋_GB2312" w:hAnsi="仿宋_GB2312" w:eastAsia="仿宋_GB2312" w:cs="仿宋_GB2312"/>
          <w:color w:val="auto"/>
          <w:kern w:val="0"/>
          <w:sz w:val="28"/>
          <w:szCs w:val="28"/>
        </w:rPr>
        <w:t>报价单位在优盟平台交易系统报价与提交的《项目报价一</w:t>
      </w:r>
      <w:r>
        <w:rPr>
          <w:rFonts w:hint="eastAsia" w:ascii="仿宋_GB2312" w:hAnsi="仿宋_GB2312" w:eastAsia="仿宋_GB2312" w:cs="仿宋_GB2312"/>
          <w:color w:val="auto"/>
          <w:sz w:val="28"/>
          <w:szCs w:val="28"/>
        </w:rPr>
        <w:t>览表》附件的报价不一致时，以提交的《项目报价一览表》的报价为准。</w:t>
      </w:r>
    </w:p>
    <w:p>
      <w:pPr>
        <w:pageBreakBefore w:val="0"/>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rPr>
        <w:t>单位负责人为同一人或者存在控股、管理关系的不同单位</w:t>
      </w:r>
      <w:r>
        <w:rPr>
          <w:rFonts w:hint="eastAsia" w:ascii="仿宋_GB2312" w:hAnsi="仿宋_GB2312" w:eastAsia="仿宋_GB2312" w:cs="仿宋_GB2312"/>
          <w:color w:val="auto"/>
          <w:sz w:val="28"/>
          <w:szCs w:val="28"/>
          <w:lang w:val="en-US" w:eastAsia="zh-CN"/>
        </w:rPr>
        <w:t>或被认定为有关联的单位，</w:t>
      </w:r>
      <w:r>
        <w:rPr>
          <w:rFonts w:hint="eastAsia" w:ascii="仿宋_GB2312" w:hAnsi="仿宋_GB2312" w:eastAsia="仿宋_GB2312" w:cs="仿宋_GB2312"/>
          <w:color w:val="auto"/>
          <w:sz w:val="28"/>
          <w:szCs w:val="28"/>
        </w:rPr>
        <w:t>不得同时参加本项目，否则均视为无效报价。</w:t>
      </w:r>
    </w:p>
    <w:p>
      <w:pPr>
        <w:pageBreakBefore w:val="0"/>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rPr>
        <w:t>报价单位的报价有算术错误的，委托单位按以下原则对其报价进行修正，修正的价格经报价单位书面确认后具有约束力。报价单位不接受修正价格的，委托单位否决其报价。</w:t>
      </w:r>
    </w:p>
    <w:p>
      <w:pPr>
        <w:pageBreakBefore w:val="0"/>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）报价文件中的大写金额与小写金额不一致的，以大写金额为准；</w:t>
      </w:r>
    </w:p>
    <w:p>
      <w:pPr>
        <w:spacing w:line="560" w:lineRule="exact"/>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）总价报价与单价报价计算出的结果不一致的，以单价报价为准修正总价报价，但单价报价小数点有明显错误的除外，如果单价报价小数点有明显错误，应以总价报价为准修正单价报价；金额报价与依据</w:t>
      </w:r>
      <w:r>
        <w:rPr>
          <w:rFonts w:hint="eastAsia" w:ascii="仿宋_GB2312" w:hAnsi="仿宋_GB2312" w:eastAsia="仿宋_GB2312" w:cs="仿宋_GB2312"/>
          <w:color w:val="auto"/>
          <w:sz w:val="28"/>
          <w:szCs w:val="28"/>
          <w:lang w:eastAsia="zh-CN"/>
        </w:rPr>
        <w:t>折率</w:t>
      </w:r>
      <w:r>
        <w:rPr>
          <w:rFonts w:hint="eastAsia" w:ascii="仿宋_GB2312" w:hAnsi="仿宋_GB2312" w:eastAsia="仿宋_GB2312" w:cs="仿宋_GB2312"/>
          <w:color w:val="auto"/>
          <w:sz w:val="28"/>
          <w:szCs w:val="28"/>
        </w:rPr>
        <w:t>计算出的结果不一致的，以</w:t>
      </w:r>
      <w:r>
        <w:rPr>
          <w:rFonts w:hint="eastAsia" w:ascii="仿宋_GB2312" w:hAnsi="仿宋_GB2312" w:eastAsia="仿宋_GB2312" w:cs="仿宋_GB2312"/>
          <w:color w:val="auto"/>
          <w:sz w:val="28"/>
          <w:szCs w:val="28"/>
          <w:lang w:eastAsia="zh-CN"/>
        </w:rPr>
        <w:t>折率</w:t>
      </w:r>
      <w:r>
        <w:rPr>
          <w:rFonts w:hint="eastAsia" w:ascii="仿宋_GB2312" w:hAnsi="仿宋_GB2312" w:eastAsia="仿宋_GB2312" w:cs="仿宋_GB2312"/>
          <w:color w:val="auto"/>
          <w:sz w:val="28"/>
          <w:szCs w:val="28"/>
        </w:rPr>
        <w:t>为准修正金额报价，但</w:t>
      </w:r>
      <w:r>
        <w:rPr>
          <w:rFonts w:hint="eastAsia" w:ascii="仿宋_GB2312" w:hAnsi="仿宋_GB2312" w:eastAsia="仿宋_GB2312" w:cs="仿宋_GB2312"/>
          <w:color w:val="auto"/>
          <w:sz w:val="28"/>
          <w:szCs w:val="28"/>
          <w:lang w:eastAsia="zh-CN"/>
        </w:rPr>
        <w:t>折率</w:t>
      </w:r>
      <w:r>
        <w:rPr>
          <w:rFonts w:hint="eastAsia" w:ascii="仿宋_GB2312" w:hAnsi="仿宋_GB2312" w:eastAsia="仿宋_GB2312" w:cs="仿宋_GB2312"/>
          <w:color w:val="auto"/>
          <w:sz w:val="28"/>
          <w:szCs w:val="28"/>
        </w:rPr>
        <w:t>小数点有明显错误的除外，如果</w:t>
      </w:r>
      <w:r>
        <w:rPr>
          <w:rFonts w:hint="eastAsia" w:ascii="仿宋_GB2312" w:hAnsi="仿宋_GB2312" w:eastAsia="仿宋_GB2312" w:cs="仿宋_GB2312"/>
          <w:color w:val="auto"/>
          <w:sz w:val="28"/>
          <w:szCs w:val="28"/>
          <w:lang w:eastAsia="zh-CN"/>
        </w:rPr>
        <w:t>折率</w:t>
      </w:r>
      <w:r>
        <w:rPr>
          <w:rFonts w:hint="eastAsia" w:ascii="仿宋_GB2312" w:hAnsi="仿宋_GB2312" w:eastAsia="仿宋_GB2312" w:cs="仿宋_GB2312"/>
          <w:color w:val="auto"/>
          <w:sz w:val="28"/>
          <w:szCs w:val="28"/>
        </w:rPr>
        <w:t>小数点有明显错误，应以金额报价为准修正</w:t>
      </w:r>
      <w:r>
        <w:rPr>
          <w:rFonts w:hint="eastAsia" w:ascii="仿宋_GB2312" w:hAnsi="仿宋_GB2312" w:eastAsia="仿宋_GB2312" w:cs="仿宋_GB2312"/>
          <w:color w:val="auto"/>
          <w:sz w:val="28"/>
          <w:szCs w:val="28"/>
          <w:lang w:eastAsia="zh-CN"/>
        </w:rPr>
        <w:t>折率</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0000FF"/>
          <w:sz w:val="28"/>
          <w:szCs w:val="28"/>
        </w:rPr>
        <w:t>折率明显低于成本的，委托单位有权要求其作出说明和澄清。</w:t>
      </w:r>
    </w:p>
    <w:p>
      <w:pPr>
        <w:pageBreakBefore w:val="0"/>
        <w:numPr>
          <w:ilvl w:val="2"/>
          <w:numId w:val="0"/>
        </w:numPr>
        <w:kinsoku/>
        <w:wordWrap/>
        <w:overflowPunct/>
        <w:topLinePunct w:val="0"/>
        <w:bidi w:val="0"/>
        <w:snapToGrid/>
        <w:spacing w:line="560" w:lineRule="exact"/>
        <w:ind w:firstLine="560" w:firstLineChars="200"/>
        <w:outlineLvl w:val="2"/>
        <w:rPr>
          <w:rFonts w:hint="eastAsia" w:ascii="仿宋_GB2312" w:hAnsi="仿宋_GB2312" w:eastAsia="仿宋_GB2312" w:cs="仿宋_GB2312"/>
          <w:color w:val="0000FF"/>
          <w:sz w:val="28"/>
          <w:szCs w:val="28"/>
          <w:lang w:eastAsia="zh-CN"/>
        </w:rPr>
      </w:pPr>
      <w:bookmarkStart w:id="0" w:name="_Toc31706"/>
      <w:bookmarkStart w:id="1" w:name="_Toc18842"/>
      <w:bookmarkStart w:id="2" w:name="_Toc21436"/>
      <w:r>
        <w:rPr>
          <w:rFonts w:hint="eastAsia" w:ascii="仿宋_GB2312" w:hAnsi="仿宋_GB2312" w:eastAsia="仿宋_GB2312" w:cs="仿宋_GB2312"/>
          <w:color w:val="0000FF"/>
          <w:sz w:val="28"/>
          <w:szCs w:val="28"/>
        </w:rPr>
        <w:t>5.委托单位有权对中选单位进行服务考评，考评不及格按照《佛山市优盟商务有限公司优盟平台供应型会员信用管理实施细则(试行)》进行处理</w:t>
      </w:r>
      <w:r>
        <w:rPr>
          <w:rFonts w:hint="eastAsia" w:ascii="仿宋_GB2312" w:hAnsi="仿宋_GB2312" w:eastAsia="仿宋_GB2312" w:cs="仿宋_GB2312"/>
          <w:color w:val="0000FF"/>
          <w:sz w:val="28"/>
          <w:szCs w:val="28"/>
          <w:lang w:eastAsia="zh-CN"/>
        </w:rPr>
        <w:t>。</w:t>
      </w:r>
    </w:p>
    <w:p>
      <w:pPr>
        <w:pageBreakBefore w:val="0"/>
        <w:numPr>
          <w:ilvl w:val="2"/>
          <w:numId w:val="0"/>
        </w:numPr>
        <w:kinsoku/>
        <w:wordWrap/>
        <w:overflowPunct/>
        <w:topLinePunct w:val="0"/>
        <w:bidi w:val="0"/>
        <w:snapToGrid/>
        <w:spacing w:line="560" w:lineRule="exact"/>
        <w:ind w:firstLine="560" w:firstLineChars="200"/>
        <w:outlineLvl w:val="2"/>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质疑的受理和回复</w:t>
      </w:r>
      <w:bookmarkEnd w:id="0"/>
      <w:bookmarkEnd w:id="1"/>
      <w:bookmarkEnd w:id="2"/>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供应商开启会议前或公示期内，供应商对公示结果提出质疑，采购人应予以回复。</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6</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供应商提出的质疑存在以下情况的，将被视为无效质疑，采购人有权不予受理：</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①跨阶段提出的质疑；</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②质疑或投诉文件未经法定代表人（或授权人）签字并加盖公章，不能体现质疑或投诉是供应商真实意思表达的；</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③质疑或投诉基本要素缺失；</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④质疑或投诉缺少相关依据及证据，仅凭猜测或者证据来源明显违反评审保密规定的；</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⑤超过质疑或投诉时效。</w:t>
      </w:r>
    </w:p>
    <w:p>
      <w:pPr>
        <w:pageBreakBefore w:val="0"/>
        <w:numPr>
          <w:ilvl w:val="0"/>
          <w:numId w:val="0"/>
        </w:numPr>
        <w:kinsoku/>
        <w:wordWrap/>
        <w:overflowPunct/>
        <w:topLinePunct w:val="0"/>
        <w:bidi w:val="0"/>
        <w:snapToGrid/>
        <w:spacing w:line="560" w:lineRule="exact"/>
        <w:ind w:firstLine="560" w:firstLineChars="200"/>
        <w:outlineLvl w:val="2"/>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ascii="仿宋_GB2312" w:hAnsi="仿宋_GB2312" w:eastAsia="仿宋_GB2312" w:cs="仿宋_GB2312"/>
          <w:color w:val="auto"/>
          <w:sz w:val="28"/>
          <w:szCs w:val="28"/>
        </w:rPr>
        <w:t>.</w:t>
      </w:r>
      <w:bookmarkStart w:id="3" w:name="_Toc9619"/>
      <w:bookmarkStart w:id="4" w:name="_Toc20966"/>
      <w:bookmarkStart w:id="5" w:name="_Toc19286"/>
      <w:r>
        <w:rPr>
          <w:rFonts w:hint="eastAsia" w:ascii="仿宋_GB2312" w:hAnsi="仿宋_GB2312" w:eastAsia="仿宋_GB2312" w:cs="仿宋_GB2312"/>
          <w:color w:val="auto"/>
          <w:sz w:val="28"/>
          <w:szCs w:val="28"/>
        </w:rPr>
        <w:t>投诉的提出</w:t>
      </w:r>
      <w:bookmarkEnd w:id="3"/>
      <w:bookmarkEnd w:id="4"/>
      <w:bookmarkEnd w:id="5"/>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供应商对质疑回复不满意的，可以向采购人监督部门进行投诉。投诉处理期间，采购人自行决定是否继续推进采购活动（被上级部门通知暂停的除外）。</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采购人本级监督部门电话：29300238</w:t>
      </w:r>
      <w:r>
        <w:rPr>
          <w:rFonts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rPr>
        <w:t>联系人：招</w:t>
      </w:r>
      <w:r>
        <w:rPr>
          <w:rFonts w:hint="eastAsia" w:ascii="仿宋_GB2312" w:hAnsi="仿宋_GB2312" w:eastAsia="仿宋_GB2312" w:cs="仿宋_GB2312"/>
          <w:color w:val="auto"/>
          <w:sz w:val="28"/>
          <w:szCs w:val="28"/>
          <w:lang w:eastAsia="zh-CN"/>
        </w:rPr>
        <w:t>生</w:t>
      </w:r>
      <w:r>
        <w:rPr>
          <w:rFonts w:ascii="仿宋_GB2312" w:hAnsi="仿宋_GB2312" w:eastAsia="仿宋_GB2312" w:cs="仿宋_GB2312"/>
          <w:color w:val="auto"/>
          <w:sz w:val="28"/>
          <w:szCs w:val="28"/>
        </w:rPr>
        <w:t xml:space="preserve">  </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供应商对本级监督部门的处理意见不满意，可以向上级监督部门申请复议，复议结论为最终处理意见。</w:t>
      </w:r>
    </w:p>
    <w:p>
      <w:pPr>
        <w:pageBreakBefore w:val="0"/>
        <w:numPr>
          <w:ilvl w:val="0"/>
          <w:numId w:val="0"/>
        </w:numPr>
        <w:kinsoku/>
        <w:wordWrap/>
        <w:overflowPunct/>
        <w:topLinePunct w:val="0"/>
        <w:bidi w:val="0"/>
        <w:snapToGrid/>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7</w:t>
      </w: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采购人对无效质疑拒绝受理的行为或供应商对接受质疑回复、撤回质疑的行为不影响监督部门根据事实对违法违规行为进行监督纠正的权利。</w:t>
      </w:r>
    </w:p>
    <w:p>
      <w:pPr>
        <w:pageBreakBefore w:val="0"/>
        <w:numPr>
          <w:ilvl w:val="0"/>
          <w:numId w:val="0"/>
        </w:numPr>
        <w:kinsoku/>
        <w:wordWrap/>
        <w:overflowPunct/>
        <w:topLinePunct w:val="0"/>
        <w:bidi w:val="0"/>
        <w:snapToGrid/>
        <w:spacing w:line="360" w:lineRule="auto"/>
        <w:ind w:firstLine="560" w:firstLineChars="200"/>
        <w:outlineLvl w:val="2"/>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不良履约供应商</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供应商违规情形及被列入不良履约供应商清单情形如下：</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（一）与采购人或其他供应商串通、协同响应的；</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（二）向采购单位、代理机构及评审人员提供不当利益的；</w:t>
      </w:r>
      <w:r>
        <w:rPr>
          <w:rFonts w:ascii="仿宋_GB2312" w:hAnsi="仿宋_GB2312" w:eastAsia="仿宋_GB2312" w:cs="仿宋_GB2312"/>
          <w:color w:val="auto"/>
          <w:sz w:val="28"/>
          <w:szCs w:val="28"/>
        </w:rPr>
        <w:t xml:space="preserve"> </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（三）主动干扰评标纪律，取得应保密的信息的；</w:t>
      </w:r>
      <w:r>
        <w:rPr>
          <w:rFonts w:ascii="仿宋_GB2312" w:hAnsi="仿宋_GB2312" w:eastAsia="仿宋_GB2312" w:cs="仿宋_GB2312"/>
          <w:color w:val="auto"/>
          <w:sz w:val="28"/>
          <w:szCs w:val="28"/>
        </w:rPr>
        <w:t xml:space="preserve"> </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（四）不按照询价文件及响应文件的实质性条款签约的；</w:t>
      </w:r>
      <w:r>
        <w:rPr>
          <w:rFonts w:ascii="仿宋_GB2312" w:hAnsi="仿宋_GB2312" w:eastAsia="仿宋_GB2312" w:cs="仿宋_GB2312"/>
          <w:color w:val="auto"/>
          <w:sz w:val="28"/>
          <w:szCs w:val="28"/>
        </w:rPr>
        <w:t xml:space="preserve"> </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（五）累计无效质疑或投诉达到</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次的；</w:t>
      </w:r>
      <w:r>
        <w:rPr>
          <w:rFonts w:ascii="仿宋_GB2312" w:hAnsi="仿宋_GB2312" w:eastAsia="仿宋_GB2312" w:cs="仿宋_GB2312"/>
          <w:color w:val="auto"/>
          <w:sz w:val="28"/>
          <w:szCs w:val="28"/>
        </w:rPr>
        <w:t xml:space="preserve"> </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（六）虽没有造成经济损失，但性质恶劣造成不良影响的。</w:t>
      </w:r>
    </w:p>
    <w:p>
      <w:pPr>
        <w:pageBreakBefore w:val="0"/>
        <w:kinsoku/>
        <w:wordWrap/>
        <w:overflowPunct/>
        <w:topLinePunct w:val="0"/>
        <w:bidi w:val="0"/>
        <w:snapToGrid/>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8</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被列入不良履约供应商清单供应商在三年内不得参与</w:t>
      </w:r>
      <w:r>
        <w:rPr>
          <w:rFonts w:hint="eastAsia" w:ascii="仿宋_GB2312" w:hAnsi="仿宋_GB2312" w:eastAsia="仿宋_GB2312" w:cs="仿宋_GB2312"/>
          <w:color w:val="auto"/>
          <w:sz w:val="28"/>
          <w:szCs w:val="28"/>
          <w:lang w:val="en-US" w:eastAsia="zh-CN"/>
        </w:rPr>
        <w:t>我司</w:t>
      </w:r>
      <w:r>
        <w:rPr>
          <w:rFonts w:hint="eastAsia" w:ascii="仿宋_GB2312" w:hAnsi="仿宋_GB2312" w:eastAsia="仿宋_GB2312" w:cs="仿宋_GB2312"/>
          <w:color w:val="auto"/>
          <w:sz w:val="28"/>
          <w:szCs w:val="28"/>
        </w:rPr>
        <w:t>的非依法必须招标项目的采购活动。</w:t>
      </w:r>
    </w:p>
    <w:p>
      <w:pPr>
        <w:pStyle w:val="4"/>
        <w:spacing w:line="360" w:lineRule="auto"/>
        <w:ind w:left="0" w:leftChars="0"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供应商不得存在下列情形之一：</w:t>
      </w:r>
    </w:p>
    <w:p>
      <w:pPr>
        <w:pStyle w:val="4"/>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（1）法定代表人/单位负责人为同一人或者存在直接控股、管理关系的供应商。</w:t>
      </w:r>
    </w:p>
    <w:p>
      <w:pPr>
        <w:pStyle w:val="4"/>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（2）营业执照上的营业场所/住所/企业地址为同一地址的供应商。</w:t>
      </w:r>
    </w:p>
    <w:p>
      <w:pPr>
        <w:spacing w:line="360" w:lineRule="auto"/>
        <w:ind w:firstLine="560" w:firstLineChars="200"/>
        <w:rPr>
          <w:rFonts w:hint="eastAsia" w:eastAsia="仿宋_GB2312"/>
          <w:lang w:val="en-US" w:eastAsia="zh-CN"/>
        </w:rPr>
      </w:pPr>
      <w:r>
        <w:rPr>
          <w:rFonts w:hint="eastAsia" w:ascii="仿宋_GB2312" w:hAnsi="仿宋_GB2312" w:eastAsia="仿宋_GB2312" w:cs="仿宋_GB2312"/>
          <w:sz w:val="28"/>
          <w:szCs w:val="28"/>
          <w:lang w:val="en-US" w:eastAsia="zh-CN"/>
        </w:rPr>
        <w:t>10.本报价邀请函最终解释权利，归委托单位所有。</w:t>
      </w:r>
    </w:p>
    <w:p>
      <w:pPr>
        <w:pageBreakBefore w:val="0"/>
        <w:tabs>
          <w:tab w:val="left" w:pos="567"/>
        </w:tabs>
        <w:kinsoku/>
        <w:wordWrap/>
        <w:overflowPunct/>
        <w:topLinePunct w:val="0"/>
        <w:autoSpaceDN w:val="0"/>
        <w:bidi w:val="0"/>
        <w:snapToGrid/>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委托单位：佛山市顺德区路桥养护有限公司</w:t>
      </w:r>
    </w:p>
    <w:p>
      <w:pPr>
        <w:pageBreakBefore w:val="0"/>
        <w:kinsoku/>
        <w:wordWrap/>
        <w:overflowPunct/>
        <w:topLinePunct w:val="0"/>
        <w:autoSpaceDE w:val="0"/>
        <w:autoSpaceDN w:val="0"/>
        <w:bidi w:val="0"/>
        <w:adjustRightInd w:val="0"/>
        <w:snapToGrid/>
        <w:spacing w:line="360" w:lineRule="auto"/>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单位地址：佛山市顺德区伦教祥丰路</w:t>
      </w:r>
      <w:r>
        <w:rPr>
          <w:rFonts w:ascii="仿宋_GB2312" w:hAnsi="仿宋_GB2312" w:eastAsia="仿宋_GB2312" w:cs="仿宋_GB2312"/>
          <w:color w:val="auto"/>
          <w:kern w:val="0"/>
          <w:sz w:val="28"/>
          <w:szCs w:val="28"/>
        </w:rPr>
        <w:t>3</w:t>
      </w:r>
      <w:r>
        <w:rPr>
          <w:rFonts w:hint="eastAsia" w:ascii="仿宋_GB2312" w:hAnsi="仿宋_GB2312" w:eastAsia="仿宋_GB2312" w:cs="仿宋_GB2312"/>
          <w:color w:val="auto"/>
          <w:kern w:val="0"/>
          <w:sz w:val="28"/>
          <w:szCs w:val="28"/>
        </w:rPr>
        <w:t>号</w:t>
      </w:r>
    </w:p>
    <w:p>
      <w:pPr>
        <w:pageBreakBefore w:val="0"/>
        <w:kinsoku/>
        <w:wordWrap/>
        <w:overflowPunct/>
        <w:topLinePunct w:val="0"/>
        <w:autoSpaceDE w:val="0"/>
        <w:autoSpaceDN w:val="0"/>
        <w:bidi w:val="0"/>
        <w:adjustRightInd w:val="0"/>
        <w:snapToGrid/>
        <w:spacing w:line="360" w:lineRule="auto"/>
        <w:jc w:val="left"/>
        <w:rPr>
          <w:rFonts w:hint="eastAsia" w:ascii="仿宋_GB2312" w:hAnsi="仿宋_GB2312" w:eastAsia="仿宋_GB2312" w:cs="仿宋_GB2312"/>
          <w:color w:val="auto"/>
          <w:kern w:val="0"/>
          <w:sz w:val="28"/>
          <w:szCs w:val="28"/>
          <w:lang w:eastAsia="zh-CN"/>
        </w:rPr>
      </w:pPr>
      <w:r>
        <w:rPr>
          <w:rFonts w:hint="eastAsia" w:ascii="仿宋_GB2312" w:hAnsi="仿宋_GB2312" w:eastAsia="仿宋_GB2312" w:cs="仿宋_GB2312"/>
          <w:color w:val="auto"/>
          <w:kern w:val="0"/>
          <w:sz w:val="28"/>
          <w:szCs w:val="28"/>
        </w:rPr>
        <w:t>联系人：</w:t>
      </w:r>
      <w:r>
        <w:rPr>
          <w:rFonts w:hint="eastAsia" w:ascii="仿宋_GB2312" w:hAnsi="仿宋_GB2312" w:eastAsia="仿宋_GB2312" w:cs="仿宋_GB2312"/>
          <w:color w:val="auto"/>
          <w:kern w:val="0"/>
          <w:sz w:val="28"/>
          <w:szCs w:val="28"/>
          <w:lang w:eastAsia="zh-CN"/>
        </w:rPr>
        <w:t>刘生</w:t>
      </w:r>
    </w:p>
    <w:p>
      <w:pPr>
        <w:widowControl/>
        <w:autoSpaceDN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color w:val="auto"/>
          <w:kern w:val="0"/>
          <w:sz w:val="28"/>
          <w:szCs w:val="28"/>
        </w:rPr>
        <w:t>联系方式：</w:t>
      </w:r>
      <w:r>
        <w:rPr>
          <w:rFonts w:hint="eastAsia" w:ascii="仿宋_GB2312" w:hAnsi="仿宋_GB2312" w:eastAsia="仿宋_GB2312" w:cs="仿宋_GB2312"/>
          <w:color w:val="auto"/>
          <w:kern w:val="0"/>
          <w:sz w:val="28"/>
          <w:szCs w:val="28"/>
          <w:lang w:val="en-US" w:eastAsia="zh-CN"/>
        </w:rPr>
        <w:t>0757-29300365</w:t>
      </w:r>
    </w:p>
    <w:p>
      <w:pPr>
        <w:pStyle w:val="4"/>
        <w:rPr>
          <w:rFonts w:hint="eastAsia"/>
          <w:lang w:val="en-US" w:eastAsia="zh-CN"/>
        </w:rPr>
      </w:pPr>
    </w:p>
    <w:p>
      <w:pPr>
        <w:keepNext w:val="0"/>
        <w:keepLines w:val="0"/>
        <w:pageBreakBefore/>
        <w:widowControl w:val="0"/>
        <w:kinsoku/>
        <w:wordWrap/>
        <w:overflowPunct/>
        <w:topLinePunct w:val="0"/>
        <w:autoSpaceDE/>
        <w:autoSpaceDN/>
        <w:bidi w:val="0"/>
        <w:adjustRightInd/>
        <w:snapToGrid/>
        <w:spacing w:line="380" w:lineRule="exact"/>
        <w:ind w:left="0" w:leftChars="0" w:right="0" w:rightChars="0" w:firstLine="0" w:firstLineChars="0"/>
        <w:jc w:val="both"/>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附件1：</w:t>
      </w:r>
    </w:p>
    <w:p>
      <w:pPr>
        <w:pStyle w:val="2"/>
        <w:keepNext/>
        <w:keepLines/>
        <w:pageBreakBefore w:val="0"/>
        <w:widowControl w:val="0"/>
        <w:kinsoku/>
        <w:wordWrap/>
        <w:overflowPunct/>
        <w:topLinePunct w:val="0"/>
        <w:autoSpaceDE/>
        <w:autoSpaceDN/>
        <w:bidi w:val="0"/>
        <w:adjustRightInd/>
        <w:snapToGrid/>
        <w:spacing w:before="0" w:after="0" w:line="380" w:lineRule="exact"/>
        <w:ind w:left="0" w:leftChars="0" w:right="0" w:rightChars="0" w:firstLine="0" w:firstLineChars="0"/>
        <w:jc w:val="center"/>
        <w:textAlignment w:val="auto"/>
        <w:outlineLvl w:val="1"/>
        <w:rPr>
          <w:rFonts w:hint="eastAsia"/>
          <w:lang w:val="en-US" w:eastAsia="zh-CN"/>
        </w:rPr>
      </w:pPr>
      <w:r>
        <w:rPr>
          <w:rFonts w:hint="eastAsia" w:ascii="仿宋_GB2312" w:hAnsi="仿宋_GB2312" w:eastAsia="仿宋_GB2312" w:cs="仿宋_GB2312"/>
          <w:color w:val="auto"/>
          <w:sz w:val="28"/>
          <w:szCs w:val="28"/>
        </w:rPr>
        <w:t>报价单位营业执照副本复印件</w:t>
      </w:r>
    </w:p>
    <w:p>
      <w:pPr>
        <w:keepNext w:val="0"/>
        <w:keepLines w:val="0"/>
        <w:pageBreakBefore/>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附件2：</w:t>
      </w:r>
    </w:p>
    <w:p>
      <w:pPr>
        <w:keepNext w:val="0"/>
        <w:keepLines w:val="0"/>
        <w:pageBreakBefore w:val="0"/>
        <w:kinsoku/>
        <w:wordWrap/>
        <w:overflowPunct/>
        <w:topLinePunct w:val="0"/>
        <w:bidi w:val="0"/>
        <w:adjustRightInd w:val="0"/>
        <w:snapToGrid w:val="0"/>
        <w:spacing w:line="420" w:lineRule="exact"/>
        <w:jc w:val="center"/>
        <w:textAlignment w:val="auto"/>
        <w:rPr>
          <w:rFonts w:hint="eastAsia" w:ascii="方正小标宋简体" w:hAnsi="方正小标宋简体" w:eastAsia="方正小标宋简体" w:cs="方正小标宋简体"/>
          <w:b/>
          <w:bCs/>
          <w:sz w:val="28"/>
          <w:szCs w:val="28"/>
          <w:lang w:eastAsia="zh-CN"/>
        </w:rPr>
      </w:pPr>
      <w:r>
        <w:rPr>
          <w:rFonts w:hint="eastAsia" w:ascii="方正小标宋简体" w:hAnsi="方正小标宋简体" w:eastAsia="方正小标宋简体" w:cs="方正小标宋简体"/>
          <w:b/>
          <w:bCs/>
          <w:sz w:val="28"/>
          <w:szCs w:val="28"/>
          <w:lang w:eastAsia="zh-CN"/>
        </w:rPr>
        <w:t>诚信承诺书</w:t>
      </w:r>
    </w:p>
    <w:p>
      <w:pPr>
        <w:keepNext w:val="0"/>
        <w:keepLines w:val="0"/>
        <w:pageBreakBefore w:val="0"/>
        <w:kinsoku/>
        <w:wordWrap/>
        <w:overflowPunct/>
        <w:topLinePunct w:val="0"/>
        <w:autoSpaceDE w:val="0"/>
        <w:autoSpaceDN w:val="0"/>
        <w:bidi w:val="0"/>
        <w:adjustRightInd w:val="0"/>
        <w:spacing w:line="420" w:lineRule="exact"/>
        <w:jc w:val="left"/>
        <w:textAlignment w:val="auto"/>
        <w:rPr>
          <w:rFonts w:hint="eastAsia" w:ascii="仿宋_GB2312" w:hAnsi="仿宋_GB2312" w:eastAsia="仿宋_GB2312" w:cs="仿宋_GB2312"/>
          <w:b/>
          <w:bCs/>
          <w:kern w:val="0"/>
          <w:sz w:val="28"/>
          <w:szCs w:val="28"/>
          <w:u w:val="none"/>
          <w:lang w:eastAsia="zh-CN"/>
        </w:rPr>
      </w:pPr>
    </w:p>
    <w:p>
      <w:pPr>
        <w:keepNext w:val="0"/>
        <w:keepLines w:val="0"/>
        <w:pageBreakBefore w:val="0"/>
        <w:kinsoku/>
        <w:wordWrap/>
        <w:overflowPunct/>
        <w:topLinePunct w:val="0"/>
        <w:autoSpaceDE w:val="0"/>
        <w:autoSpaceDN w:val="0"/>
        <w:bidi w:val="0"/>
        <w:adjustRightInd w:val="0"/>
        <w:snapToGrid/>
        <w:spacing w:line="420" w:lineRule="exact"/>
        <w:jc w:val="left"/>
        <w:textAlignment w:val="auto"/>
        <w:rPr>
          <w:rFonts w:hint="eastAsia" w:ascii="仿宋_GB2312" w:hAnsi="仿宋_GB2312" w:eastAsia="仿宋_GB2312" w:cs="仿宋_GB2312"/>
          <w:b/>
          <w:bCs/>
          <w:kern w:val="0"/>
          <w:sz w:val="28"/>
          <w:szCs w:val="28"/>
          <w:u w:val="single"/>
          <w:lang w:eastAsia="zh-CN"/>
        </w:rPr>
      </w:pPr>
      <w:r>
        <w:rPr>
          <w:rFonts w:hint="eastAsia" w:ascii="仿宋_GB2312" w:hAnsi="仿宋_GB2312" w:eastAsia="仿宋_GB2312" w:cs="仿宋_GB2312"/>
          <w:b/>
          <w:bCs/>
          <w:kern w:val="0"/>
          <w:sz w:val="28"/>
          <w:szCs w:val="28"/>
          <w:u w:val="none"/>
          <w:lang w:eastAsia="zh-CN"/>
        </w:rPr>
        <w:t>致：</w:t>
      </w:r>
      <w:r>
        <w:rPr>
          <w:rFonts w:hint="eastAsia" w:ascii="仿宋_GB2312" w:hAnsi="仿宋_GB2312" w:eastAsia="仿宋_GB2312" w:cs="仿宋_GB2312"/>
          <w:b/>
          <w:bCs/>
          <w:kern w:val="0"/>
          <w:sz w:val="28"/>
          <w:szCs w:val="28"/>
          <w:u w:val="single"/>
        </w:rPr>
        <w:t>佛山市顺德区路桥养护有限公司</w:t>
      </w:r>
      <w:r>
        <w:rPr>
          <w:rFonts w:hint="eastAsia" w:ascii="仿宋_GB2312" w:hAnsi="仿宋_GB2312" w:eastAsia="仿宋_GB2312" w:cs="仿宋_GB2312"/>
          <w:b/>
          <w:bCs/>
          <w:kern w:val="0"/>
          <w:sz w:val="28"/>
          <w:szCs w:val="28"/>
          <w:u w:val="single"/>
          <w:lang w:eastAsia="zh-CN"/>
        </w:rPr>
        <w:t>（</w:t>
      </w:r>
      <w:r>
        <w:rPr>
          <w:rFonts w:hint="eastAsia" w:ascii="仿宋_GB2312" w:hAnsi="仿宋_GB2312" w:eastAsia="仿宋_GB2312" w:cs="仿宋_GB2312"/>
          <w:b/>
          <w:bCs/>
          <w:kern w:val="0"/>
          <w:sz w:val="28"/>
          <w:szCs w:val="28"/>
          <w:u w:val="single"/>
          <w:lang w:val="en-US" w:eastAsia="zh-CN"/>
        </w:rPr>
        <w:t>委托人</w:t>
      </w:r>
      <w:r>
        <w:rPr>
          <w:rFonts w:hint="eastAsia" w:ascii="仿宋_GB2312" w:hAnsi="仿宋_GB2312" w:eastAsia="仿宋_GB2312" w:cs="仿宋_GB2312"/>
          <w:b/>
          <w:bCs/>
          <w:kern w:val="0"/>
          <w:sz w:val="28"/>
          <w:szCs w:val="28"/>
          <w:u w:val="single"/>
          <w:lang w:eastAsia="zh-CN"/>
        </w:rPr>
        <w:t>）</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一、本单位将遵循公开、公正和诚实信用的原则参加本项目的</w:t>
      </w:r>
      <w:r>
        <w:rPr>
          <w:rFonts w:hint="eastAsia" w:ascii="仿宋_GB2312" w:hAnsi="仿宋_GB2312" w:eastAsia="仿宋_GB2312" w:cs="仿宋_GB2312"/>
          <w:sz w:val="28"/>
          <w:szCs w:val="28"/>
          <w:lang w:val="en-US" w:eastAsia="zh-CN"/>
        </w:rPr>
        <w:t>报价</w:t>
      </w:r>
      <w:r>
        <w:rPr>
          <w:rFonts w:hint="eastAsia" w:ascii="仿宋_GB2312" w:hAnsi="仿宋_GB2312" w:eastAsia="仿宋_GB2312" w:cs="仿宋_GB2312"/>
          <w:sz w:val="28"/>
          <w:szCs w:val="28"/>
        </w:rPr>
        <w:t>。</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二、本单位所提供的一切材料都是真实、有效、合法的，没有伪（变）造或虚假成份。</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三、本单位近三年（自公告发布之日上溯）没有下列情形之一：</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1.被责令停业；</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2.财产被接管或冻结，破产状态；</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3.处于被取消或暂停投标资格的处罚期内，或被纳入不诚信投标企业名单；</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报价单位</w:t>
      </w:r>
      <w:r>
        <w:rPr>
          <w:rFonts w:hint="eastAsia" w:ascii="仿宋_GB2312" w:hAnsi="仿宋_GB2312" w:eastAsia="仿宋_GB2312" w:cs="仿宋_GB2312"/>
          <w:sz w:val="28"/>
          <w:szCs w:val="28"/>
        </w:rPr>
        <w:t>相互串通</w:t>
      </w:r>
      <w:r>
        <w:rPr>
          <w:rFonts w:hint="eastAsia" w:ascii="仿宋_GB2312" w:hAnsi="仿宋_GB2312" w:eastAsia="仿宋_GB2312" w:cs="仿宋_GB2312"/>
          <w:sz w:val="28"/>
          <w:szCs w:val="28"/>
          <w:lang w:val="en-US" w:eastAsia="zh-CN"/>
        </w:rPr>
        <w:t>报价</w:t>
      </w:r>
      <w:r>
        <w:rPr>
          <w:rFonts w:hint="eastAsia" w:ascii="仿宋_GB2312" w:hAnsi="仿宋_GB2312" w:eastAsia="仿宋_GB2312" w:cs="仿宋_GB2312"/>
          <w:sz w:val="28"/>
          <w:szCs w:val="28"/>
        </w:rPr>
        <w:t>或者与</w:t>
      </w:r>
      <w:r>
        <w:rPr>
          <w:rFonts w:hint="eastAsia" w:ascii="仿宋_GB2312" w:hAnsi="仿宋_GB2312" w:eastAsia="仿宋_GB2312" w:cs="仿宋_GB2312"/>
          <w:sz w:val="28"/>
          <w:szCs w:val="28"/>
          <w:lang w:val="en-US" w:eastAsia="zh-CN"/>
        </w:rPr>
        <w:t>委托单位</w:t>
      </w:r>
      <w:r>
        <w:rPr>
          <w:rFonts w:hint="eastAsia" w:ascii="仿宋_GB2312" w:hAnsi="仿宋_GB2312" w:eastAsia="仿宋_GB2312" w:cs="仿宋_GB2312"/>
          <w:sz w:val="28"/>
          <w:szCs w:val="28"/>
        </w:rPr>
        <w:t>串通</w:t>
      </w:r>
      <w:r>
        <w:rPr>
          <w:rFonts w:hint="eastAsia" w:ascii="仿宋_GB2312" w:hAnsi="仿宋_GB2312" w:eastAsia="仿宋_GB2312" w:cs="仿宋_GB2312"/>
          <w:sz w:val="28"/>
          <w:szCs w:val="28"/>
          <w:lang w:val="en-US" w:eastAsia="zh-CN"/>
        </w:rPr>
        <w:t>报价</w:t>
      </w:r>
      <w:r>
        <w:rPr>
          <w:rFonts w:hint="eastAsia" w:ascii="仿宋_GB2312" w:hAnsi="仿宋_GB2312" w:eastAsia="仿宋_GB2312" w:cs="仿宋_GB2312"/>
          <w:sz w:val="28"/>
          <w:szCs w:val="28"/>
        </w:rPr>
        <w:t>；</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5.以行贿谋取中</w:t>
      </w:r>
      <w:r>
        <w:rPr>
          <w:rFonts w:hint="eastAsia" w:ascii="仿宋_GB2312" w:hAnsi="仿宋_GB2312" w:eastAsia="仿宋_GB2312" w:cs="仿宋_GB2312"/>
          <w:sz w:val="28"/>
          <w:szCs w:val="28"/>
          <w:lang w:val="en-US" w:eastAsia="zh-CN"/>
        </w:rPr>
        <w:t>选</w:t>
      </w:r>
      <w:r>
        <w:rPr>
          <w:rFonts w:hint="eastAsia" w:ascii="仿宋_GB2312" w:hAnsi="仿宋_GB2312" w:eastAsia="仿宋_GB2312" w:cs="仿宋_GB2312"/>
          <w:sz w:val="28"/>
          <w:szCs w:val="28"/>
        </w:rPr>
        <w:t>，或以</w:t>
      </w:r>
      <w:r>
        <w:rPr>
          <w:rFonts w:hint="eastAsia" w:ascii="仿宋_GB2312" w:hAnsi="仿宋_GB2312" w:eastAsia="仿宋_GB2312" w:cs="仿宋_GB2312"/>
          <w:sz w:val="28"/>
          <w:szCs w:val="28"/>
          <w:lang w:val="en-US" w:eastAsia="zh-CN"/>
        </w:rPr>
        <w:t>其他单位</w:t>
      </w:r>
      <w:r>
        <w:rPr>
          <w:rFonts w:hint="eastAsia" w:ascii="仿宋_GB2312" w:hAnsi="仿宋_GB2312" w:eastAsia="仿宋_GB2312" w:cs="仿宋_GB2312"/>
          <w:sz w:val="28"/>
          <w:szCs w:val="28"/>
        </w:rPr>
        <w:t>名义</w:t>
      </w:r>
      <w:r>
        <w:rPr>
          <w:rFonts w:hint="eastAsia" w:ascii="仿宋_GB2312" w:hAnsi="仿宋_GB2312" w:eastAsia="仿宋_GB2312" w:cs="仿宋_GB2312"/>
          <w:sz w:val="28"/>
          <w:szCs w:val="28"/>
          <w:lang w:val="en-US" w:eastAsia="zh-CN"/>
        </w:rPr>
        <w:t>报价</w:t>
      </w:r>
      <w:r>
        <w:rPr>
          <w:rFonts w:hint="eastAsia" w:ascii="仿宋_GB2312" w:hAnsi="仿宋_GB2312" w:eastAsia="仿宋_GB2312" w:cs="仿宋_GB2312"/>
          <w:sz w:val="28"/>
          <w:szCs w:val="28"/>
        </w:rPr>
        <w:t>或者以其他方式弄虚作假骗取中</w:t>
      </w:r>
      <w:r>
        <w:rPr>
          <w:rFonts w:hint="eastAsia" w:ascii="仿宋_GB2312" w:hAnsi="仿宋_GB2312" w:eastAsia="仿宋_GB2312" w:cs="仿宋_GB2312"/>
          <w:sz w:val="28"/>
          <w:szCs w:val="28"/>
          <w:lang w:val="en-US" w:eastAsia="zh-CN"/>
        </w:rPr>
        <w:t>选</w:t>
      </w:r>
      <w:r>
        <w:rPr>
          <w:rFonts w:hint="eastAsia" w:ascii="仿宋_GB2312" w:hAnsi="仿宋_GB2312" w:eastAsia="仿宋_GB2312" w:cs="仿宋_GB2312"/>
          <w:sz w:val="28"/>
          <w:szCs w:val="28"/>
        </w:rPr>
        <w:t>；</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en-US" w:eastAsia="zh-CN"/>
        </w:rPr>
        <w:t>报价单位</w:t>
      </w:r>
      <w:r>
        <w:rPr>
          <w:rFonts w:hint="eastAsia" w:ascii="仿宋_GB2312" w:hAnsi="仿宋_GB2312" w:eastAsia="仿宋_GB2312" w:cs="仿宋_GB2312"/>
          <w:sz w:val="28"/>
          <w:szCs w:val="28"/>
        </w:rPr>
        <w:t>捏造事实、伪造证明材料投诉；</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报价/投标单位</w:t>
      </w:r>
      <w:r>
        <w:rPr>
          <w:rFonts w:hint="eastAsia" w:ascii="仿宋_GB2312" w:hAnsi="仿宋_GB2312" w:eastAsia="仿宋_GB2312" w:cs="仿宋_GB2312"/>
          <w:sz w:val="28"/>
          <w:szCs w:val="28"/>
        </w:rPr>
        <w:t>无故放弃中</w:t>
      </w:r>
      <w:r>
        <w:rPr>
          <w:rFonts w:hint="eastAsia" w:ascii="仿宋_GB2312" w:hAnsi="仿宋_GB2312" w:eastAsia="仿宋_GB2312" w:cs="仿宋_GB2312"/>
          <w:sz w:val="28"/>
          <w:szCs w:val="28"/>
          <w:lang w:val="en-US" w:eastAsia="zh-CN"/>
        </w:rPr>
        <w:t>选/中标</w:t>
      </w:r>
      <w:r>
        <w:rPr>
          <w:rFonts w:hint="eastAsia" w:ascii="仿宋_GB2312" w:hAnsi="仿宋_GB2312" w:eastAsia="仿宋_GB2312" w:cs="仿宋_GB2312"/>
          <w:sz w:val="28"/>
          <w:szCs w:val="28"/>
        </w:rPr>
        <w:t>的；</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8.发生较大以上质量安全事故，或一年内发生两起一般安全生产事故；</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9.超越本单位资质等级许可的业务范围承揽项目，或违法转包、分包项目，或允许其他单位或个人以本单位名义承揽项目；</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10.由于本企业原因，拖欠分包单位款项，引发集体上访或聚众闹事；拖欠和克扣劳务人员工资，发生拖欠劳务人员工资，引发劳务人员集体上访或聚众闹事；</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11.办理各项业务如资质申报、人员信息备案等手续时（或已办结取得审批通过的），经核查发现存在欺骗行为（如伪造证明材料、捏造或瞒报事实、或存在其他弄虚作假方式等）。</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12.提交资料必须真实和有效。</w:t>
      </w:r>
    </w:p>
    <w:p>
      <w:pPr>
        <w:pStyle w:val="32"/>
        <w:keepNext w:val="0"/>
        <w:keepLines w:val="0"/>
        <w:pageBreakBefore w:val="0"/>
        <w:kinsoku/>
        <w:wordWrap/>
        <w:overflowPunct/>
        <w:topLinePunct w:val="0"/>
        <w:autoSpaceDE/>
        <w:autoSpaceDN/>
        <w:bidi w:val="0"/>
        <w:adjustRightInd/>
        <w:snapToGrid/>
        <w:spacing w:line="420" w:lineRule="exact"/>
        <w:ind w:firstLine="281" w:firstLineChars="10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以上内容本</w:t>
      </w:r>
      <w:r>
        <w:rPr>
          <w:rFonts w:hint="eastAsia" w:ascii="仿宋_GB2312" w:hAnsi="仿宋_GB2312" w:eastAsia="仿宋_GB2312" w:cs="仿宋_GB2312"/>
          <w:b/>
          <w:bCs/>
          <w:sz w:val="28"/>
          <w:szCs w:val="28"/>
          <w:lang w:val="en-US" w:eastAsia="zh-CN"/>
        </w:rPr>
        <w:t>单位</w:t>
      </w:r>
      <w:r>
        <w:rPr>
          <w:rFonts w:hint="eastAsia" w:ascii="仿宋_GB2312" w:hAnsi="仿宋_GB2312" w:eastAsia="仿宋_GB2312" w:cs="仿宋_GB2312"/>
          <w:b/>
          <w:bCs/>
          <w:sz w:val="28"/>
          <w:szCs w:val="28"/>
        </w:rPr>
        <w:t>已仔细阅读，如违反上述承诺内容，愿意承担以下后果：</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1.取消本单位在本项目中的</w:t>
      </w:r>
      <w:r>
        <w:rPr>
          <w:rFonts w:hint="eastAsia" w:ascii="仿宋_GB2312" w:hAnsi="仿宋_GB2312" w:eastAsia="仿宋_GB2312" w:cs="仿宋_GB2312"/>
          <w:b/>
          <w:bCs/>
          <w:sz w:val="28"/>
          <w:szCs w:val="28"/>
          <w:lang w:val="en-US" w:eastAsia="zh-CN"/>
        </w:rPr>
        <w:t>报价</w:t>
      </w:r>
      <w:r>
        <w:rPr>
          <w:rFonts w:hint="eastAsia" w:ascii="仿宋_GB2312" w:hAnsi="仿宋_GB2312" w:eastAsia="仿宋_GB2312" w:cs="仿宋_GB2312"/>
          <w:b/>
          <w:bCs/>
          <w:sz w:val="28"/>
          <w:szCs w:val="28"/>
        </w:rPr>
        <w:t>资格或中</w:t>
      </w:r>
      <w:r>
        <w:rPr>
          <w:rFonts w:hint="eastAsia" w:ascii="仿宋_GB2312" w:hAnsi="仿宋_GB2312" w:eastAsia="仿宋_GB2312" w:cs="仿宋_GB2312"/>
          <w:b/>
          <w:bCs/>
          <w:sz w:val="28"/>
          <w:szCs w:val="28"/>
          <w:lang w:val="en-US" w:eastAsia="zh-CN"/>
        </w:rPr>
        <w:t>选</w:t>
      </w:r>
      <w:r>
        <w:rPr>
          <w:rFonts w:hint="eastAsia" w:ascii="仿宋_GB2312" w:hAnsi="仿宋_GB2312" w:eastAsia="仿宋_GB2312" w:cs="仿宋_GB2312"/>
          <w:b/>
          <w:bCs/>
          <w:sz w:val="28"/>
          <w:szCs w:val="28"/>
        </w:rPr>
        <w:t>资格；</w:t>
      </w:r>
    </w:p>
    <w:p>
      <w:pPr>
        <w:pStyle w:val="32"/>
        <w:keepNext w:val="0"/>
        <w:keepLines w:val="0"/>
        <w:pageBreakBefore w:val="0"/>
        <w:kinsoku/>
        <w:wordWrap/>
        <w:overflowPunct/>
        <w:topLinePunct w:val="0"/>
        <w:autoSpaceDE/>
        <w:autoSpaceDN/>
        <w:bidi w:val="0"/>
        <w:adjustRightInd/>
        <w:snapToGrid/>
        <w:spacing w:line="420" w:lineRule="exact"/>
        <w:ind w:firstLine="420"/>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.同意按贵司建立的相关制度执行。</w:t>
      </w:r>
    </w:p>
    <w:p>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lang w:val="en-US" w:eastAsia="zh-CN"/>
        </w:rPr>
        <w:t xml:space="preserve"> 3.如造成委托单位损失的，报价单位愿意进行全额赔付。</w:t>
      </w:r>
    </w:p>
    <w:p>
      <w:pPr>
        <w:pStyle w:val="4"/>
        <w:keepNext w:val="0"/>
        <w:keepLines w:val="0"/>
        <w:pageBreakBefore w:val="0"/>
        <w:kinsoku/>
        <w:wordWrap/>
        <w:overflowPunct/>
        <w:topLinePunct w:val="0"/>
        <w:bidi w:val="0"/>
        <w:spacing w:line="240" w:lineRule="auto"/>
        <w:ind w:left="0" w:leftChars="0" w:firstLine="281" w:firstLineChars="1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（最终解释权利，归委托单位所有）</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报价</w:t>
      </w:r>
      <w:r>
        <w:rPr>
          <w:rFonts w:hint="eastAsia" w:ascii="仿宋_GB2312" w:hAnsi="仿宋_GB2312" w:eastAsia="仿宋_GB2312" w:cs="仿宋_GB2312"/>
          <w:sz w:val="28"/>
          <w:szCs w:val="28"/>
        </w:rPr>
        <w:t>单位（公章）：</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ascii="仿宋_GB2312" w:eastAsia="仿宋_GB2312" w:cs="仿宋_GB2312"/>
          <w:kern w:val="0"/>
          <w:sz w:val="28"/>
          <w:szCs w:val="28"/>
        </w:rPr>
      </w:pPr>
      <w:r>
        <w:rPr>
          <w:rFonts w:hint="eastAsia" w:ascii="仿宋_GB2312" w:hAnsi="仿宋_GB2312" w:eastAsia="仿宋_GB2312" w:cs="仿宋_GB2312"/>
          <w:sz w:val="28"/>
          <w:szCs w:val="28"/>
          <w:lang w:val="en-US" w:eastAsia="zh-CN"/>
        </w:rPr>
        <w:t>日期：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w:t>
      </w:r>
    </w:p>
    <w:p>
      <w:pPr>
        <w:widowControl/>
        <w:autoSpaceDN w:val="0"/>
        <w:rPr>
          <w:rFonts w:ascii="方正小标宋简体" w:hAnsi="方正小标宋简体" w:eastAsia="方正小标宋简体" w:cs="方正小标宋简体"/>
          <w:b/>
          <w:bCs/>
          <w:spacing w:val="-6"/>
          <w:kern w:val="0"/>
          <w:sz w:val="28"/>
          <w:szCs w:val="28"/>
        </w:rPr>
      </w:pPr>
      <w:r>
        <w:rPr>
          <w:rFonts w:hint="eastAsia" w:ascii="仿宋_GB2312" w:hAnsi="宋体" w:eastAsia="仿宋_GB2312" w:cs="仿宋_GB2312"/>
          <w:b/>
          <w:bCs/>
          <w:spacing w:val="-6"/>
          <w:kern w:val="0"/>
          <w:sz w:val="28"/>
          <w:szCs w:val="28"/>
        </w:rPr>
        <w:t>附件</w:t>
      </w:r>
      <w:r>
        <w:rPr>
          <w:rFonts w:hint="eastAsia" w:ascii="仿宋_GB2312" w:hAnsi="宋体" w:eastAsia="仿宋_GB2312" w:cs="仿宋_GB2312"/>
          <w:b/>
          <w:bCs/>
          <w:spacing w:val="-6"/>
          <w:kern w:val="0"/>
          <w:sz w:val="28"/>
          <w:szCs w:val="28"/>
          <w:lang w:val="en-US" w:eastAsia="zh-CN"/>
        </w:rPr>
        <w:t>3</w:t>
      </w:r>
      <w:r>
        <w:rPr>
          <w:rFonts w:hint="eastAsia" w:ascii="仿宋_GB2312" w:hAnsi="宋体" w:eastAsia="仿宋_GB2312" w:cs="仿宋_GB2312"/>
          <w:b/>
          <w:bCs/>
          <w:spacing w:val="-6"/>
          <w:kern w:val="0"/>
          <w:sz w:val="28"/>
          <w:szCs w:val="28"/>
        </w:rPr>
        <w:t>：</w:t>
      </w:r>
    </w:p>
    <w:p>
      <w:pPr>
        <w:pStyle w:val="3"/>
        <w:ind w:right="0" w:rightChars="0"/>
        <w:rPr>
          <w:rFonts w:ascii="方正小标宋简体" w:hAnsi="方正小标宋简体" w:eastAsia="方正小标宋简体" w:cs="方正小标宋简体"/>
          <w:b w:val="0"/>
          <w:sz w:val="28"/>
          <w:szCs w:val="28"/>
        </w:rPr>
      </w:pPr>
      <w:r>
        <w:rPr>
          <w:rFonts w:hint="eastAsia" w:ascii="方正小标宋简体" w:hAnsi="方正小标宋简体" w:eastAsia="方正小标宋简体" w:cs="方正小标宋简体"/>
          <w:color w:val="auto"/>
          <w:sz w:val="28"/>
          <w:szCs w:val="28"/>
        </w:rPr>
        <w:t>项目报价一览表</w:t>
      </w:r>
    </w:p>
    <w:p>
      <w:pPr>
        <w:widowControl/>
        <w:autoSpaceDN w:val="0"/>
        <w:spacing w:line="240" w:lineRule="auto"/>
        <w:rPr>
          <w:rFonts w:ascii="仿宋_GB2312" w:hAnsi="宋体" w:eastAsia="仿宋_GB2312" w:cs="仿宋_GB2312"/>
          <w:spacing w:val="-6"/>
          <w:kern w:val="0"/>
          <w:sz w:val="28"/>
          <w:szCs w:val="28"/>
        </w:rPr>
      </w:pPr>
      <w:r>
        <w:rPr>
          <w:rFonts w:hint="eastAsia" w:ascii="仿宋_GB2312" w:hAnsi="宋体" w:eastAsia="仿宋_GB2312" w:cs="仿宋_GB2312"/>
          <w:spacing w:val="-6"/>
          <w:kern w:val="0"/>
          <w:sz w:val="28"/>
          <w:szCs w:val="28"/>
        </w:rPr>
        <w:t>佛山市顺德区路桥养护有限公司</w:t>
      </w:r>
      <w:r>
        <w:rPr>
          <w:rFonts w:ascii="仿宋_GB2312" w:hAnsi="宋体" w:eastAsia="仿宋_GB2312" w:cs="仿宋_GB2312"/>
          <w:spacing w:val="-6"/>
          <w:kern w:val="0"/>
          <w:sz w:val="28"/>
          <w:szCs w:val="28"/>
        </w:rPr>
        <w:t>:</w:t>
      </w:r>
    </w:p>
    <w:p>
      <w:pPr>
        <w:spacing w:line="360" w:lineRule="auto"/>
        <w:ind w:firstLine="536" w:firstLineChars="200"/>
        <w:rPr>
          <w:rFonts w:hint="eastAsia" w:ascii="仿宋_GB2312" w:hAnsi="仿宋_GB2312" w:eastAsia="仿宋_GB2312" w:cs="仿宋_GB2312"/>
          <w:spacing w:val="-6"/>
          <w:kern w:val="0"/>
          <w:sz w:val="28"/>
          <w:szCs w:val="28"/>
        </w:rPr>
      </w:pPr>
      <w:r>
        <w:rPr>
          <w:rFonts w:hint="eastAsia" w:ascii="仿宋_GB2312" w:hAnsi="仿宋_GB2312" w:eastAsia="仿宋_GB2312" w:cs="仿宋_GB2312"/>
          <w:spacing w:val="-6"/>
          <w:kern w:val="0"/>
          <w:sz w:val="28"/>
          <w:szCs w:val="28"/>
        </w:rPr>
        <w:t>贵司关于</w:t>
      </w:r>
      <w:r>
        <w:rPr>
          <w:rFonts w:hint="eastAsia" w:ascii="仿宋_GB2312" w:hAnsi="仿宋_GB2312" w:eastAsia="仿宋_GB2312" w:cs="仿宋_GB2312"/>
          <w:sz w:val="28"/>
          <w:szCs w:val="28"/>
          <w:u w:val="single"/>
          <w:lang w:val="en-US" w:eastAsia="zh-CN"/>
        </w:rPr>
        <w:t>日常养护及工程项目铝板、铝槽采购项目</w:t>
      </w:r>
      <w:r>
        <w:rPr>
          <w:rFonts w:hint="eastAsia" w:ascii="仿宋_GB2312" w:hAnsi="仿宋_GB2312" w:eastAsia="仿宋_GB2312" w:cs="仿宋_GB2312"/>
          <w:spacing w:val="-6"/>
          <w:kern w:val="0"/>
          <w:sz w:val="28"/>
          <w:szCs w:val="28"/>
        </w:rPr>
        <w:t>的《报价邀请函》，我司已收悉，并愿意遵守该函的所有要求，据此，向贵司报价如下：</w:t>
      </w:r>
    </w:p>
    <w:tbl>
      <w:tblPr>
        <w:tblStyle w:val="13"/>
        <w:tblW w:w="98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8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603" w:type="dxa"/>
            <w:vAlign w:val="center"/>
          </w:tcPr>
          <w:p>
            <w:pPr>
              <w:keepNext w:val="0"/>
              <w:keepLines w:val="0"/>
              <w:suppressLineNumbers w:val="0"/>
              <w:spacing w:before="0" w:beforeAutospacing="0" w:after="0" w:afterAutospacing="0" w:line="480" w:lineRule="auto"/>
              <w:ind w:left="0" w:right="0"/>
              <w:jc w:val="center"/>
              <w:rPr>
                <w:rFonts w:hint="default" w:ascii="仿宋_GB2312" w:hAnsi="仿宋_GB2312" w:eastAsia="仿宋_GB2312" w:cs="仿宋_GB2312"/>
                <w:spacing w:val="-6"/>
                <w:kern w:val="0"/>
                <w:sz w:val="28"/>
                <w:szCs w:val="28"/>
              </w:rPr>
            </w:pPr>
            <w:r>
              <w:rPr>
                <w:rFonts w:hint="eastAsia" w:ascii="仿宋_GB2312" w:hAnsi="仿宋_GB2312" w:eastAsia="仿宋_GB2312" w:cs="仿宋_GB2312"/>
                <w:b/>
                <w:bCs/>
                <w:spacing w:val="-6"/>
                <w:kern w:val="0"/>
                <w:sz w:val="28"/>
                <w:szCs w:val="28"/>
              </w:rPr>
              <w:t>报价内容</w:t>
            </w:r>
          </w:p>
        </w:tc>
        <w:tc>
          <w:tcPr>
            <w:tcW w:w="821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日常养护及工程项目铝板、铝槽采购项目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603" w:type="dxa"/>
            <w:vAlign w:val="center"/>
          </w:tcPr>
          <w:p>
            <w:pPr>
              <w:keepNext w:val="0"/>
              <w:keepLines w:val="0"/>
              <w:widowControl/>
              <w:suppressLineNumbers w:val="0"/>
              <w:autoSpaceDN w:val="0"/>
              <w:spacing w:before="0" w:beforeAutospacing="0" w:after="0" w:afterAutospacing="0"/>
              <w:ind w:left="0" w:right="0"/>
              <w:jc w:val="center"/>
              <w:rPr>
                <w:rFonts w:hint="eastAsia" w:eastAsia="仿宋_GB2312"/>
                <w:sz w:val="28"/>
                <w:szCs w:val="28"/>
                <w:lang w:eastAsia="zh-CN"/>
              </w:rPr>
            </w:pPr>
            <w:r>
              <w:rPr>
                <w:rFonts w:hint="eastAsia" w:ascii="仿宋_GB2312" w:hAnsi="仿宋" w:eastAsia="仿宋_GB2312"/>
                <w:spacing w:val="-6"/>
                <w:kern w:val="0"/>
                <w:sz w:val="28"/>
                <w:szCs w:val="28"/>
              </w:rPr>
              <w:t>项目报价</w:t>
            </w:r>
          </w:p>
        </w:tc>
        <w:tc>
          <w:tcPr>
            <w:tcW w:w="8211" w:type="dxa"/>
            <w:vAlign w:val="center"/>
          </w:tcPr>
          <w:p>
            <w:pPr>
              <w:keepNext w:val="0"/>
              <w:keepLines w:val="0"/>
              <w:widowControl/>
              <w:suppressLineNumbers w:val="0"/>
              <w:autoSpaceDN w:val="0"/>
              <w:spacing w:before="0" w:beforeAutospacing="0" w:after="0" w:afterAutospacing="0"/>
              <w:ind w:left="0" w:right="0"/>
              <w:rPr>
                <w:rFonts w:hint="default"/>
              </w:rPr>
            </w:pPr>
            <w:r>
              <w:rPr>
                <w:rFonts w:hint="eastAsia" w:ascii="仿宋_GB2312" w:hAnsi="仿宋" w:eastAsia="仿宋_GB2312"/>
                <w:spacing w:val="-6"/>
                <w:kern w:val="0"/>
                <w:sz w:val="28"/>
                <w:szCs w:val="28"/>
              </w:rPr>
              <w:t>折</w:t>
            </w:r>
            <w:r>
              <w:rPr>
                <w:rFonts w:hint="eastAsia" w:ascii="仿宋_GB2312" w:hAnsi="仿宋" w:eastAsia="仿宋_GB2312"/>
                <w:spacing w:val="-6"/>
                <w:kern w:val="0"/>
                <w:sz w:val="28"/>
                <w:szCs w:val="28"/>
                <w:lang w:eastAsia="zh-CN"/>
              </w:rPr>
              <w:t>率</w:t>
            </w:r>
            <w:r>
              <w:rPr>
                <w:rFonts w:hint="eastAsia" w:ascii="仿宋_GB2312" w:hAnsi="仿宋" w:eastAsia="仿宋_GB2312"/>
                <w:spacing w:val="-6"/>
                <w:kern w:val="0"/>
                <w:sz w:val="28"/>
                <w:szCs w:val="28"/>
              </w:rPr>
              <w:t>（下浮至）</w:t>
            </w:r>
            <w:r>
              <w:rPr>
                <w:rFonts w:hint="default" w:ascii="仿宋_GB2312" w:hAnsi="仿宋" w:eastAsia="仿宋_GB2312"/>
                <w:spacing w:val="-6"/>
                <w:kern w:val="0"/>
                <w:sz w:val="28"/>
                <w:szCs w:val="28"/>
              </w:rPr>
              <w:t>:</w:t>
            </w:r>
            <w:r>
              <w:rPr>
                <w:rFonts w:hint="default" w:ascii="仿宋_GB2312" w:hAnsi="仿宋" w:eastAsia="仿宋_GB2312"/>
                <w:spacing w:val="-6"/>
                <w:kern w:val="0"/>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603" w:type="dxa"/>
            <w:vAlign w:val="center"/>
          </w:tcPr>
          <w:p>
            <w:pPr>
              <w:pStyle w:val="2"/>
              <w:suppressLineNumbers w:val="0"/>
              <w:spacing w:before="0" w:beforeAutospacing="0" w:after="0" w:afterAutospacing="0" w:line="240" w:lineRule="auto"/>
              <w:ind w:left="0" w:right="0"/>
              <w:jc w:val="center"/>
              <w:rPr>
                <w:rFonts w:hint="default" w:ascii="仿宋_GB2312" w:hAnsi="仿宋_GB2312" w:eastAsia="仿宋_GB2312" w:cs="仿宋_GB2312"/>
                <w:sz w:val="28"/>
                <w:szCs w:val="28"/>
              </w:rPr>
            </w:pPr>
            <w:r>
              <w:rPr>
                <w:rFonts w:hint="eastAsia" w:ascii="仿宋_GB2312" w:hAnsi="仿宋_GB2312" w:eastAsia="仿宋_GB2312" w:cs="仿宋_GB2312"/>
                <w:b w:val="0"/>
                <w:bCs w:val="0"/>
                <w:spacing w:val="-6"/>
                <w:kern w:val="0"/>
                <w:sz w:val="28"/>
                <w:szCs w:val="28"/>
              </w:rPr>
              <w:t>增值税率</w:t>
            </w:r>
          </w:p>
        </w:tc>
        <w:tc>
          <w:tcPr>
            <w:tcW w:w="8211" w:type="dxa"/>
            <w:vAlign w:val="center"/>
          </w:tcPr>
          <w:p>
            <w:pPr>
              <w:pStyle w:val="2"/>
              <w:suppressLineNumbers w:val="0"/>
              <w:spacing w:before="0" w:beforeAutospacing="0" w:after="0" w:afterAutospacing="0" w:line="240" w:lineRule="auto"/>
              <w:ind w:left="0" w:right="0"/>
              <w:rPr>
                <w:rFonts w:hint="default" w:ascii="仿宋_GB2312" w:hAnsi="仿宋_GB2312" w:eastAsia="仿宋_GB2312" w:cs="仿宋_GB2312"/>
                <w:b w:val="0"/>
                <w:bCs w:val="0"/>
                <w:sz w:val="28"/>
                <w:szCs w:val="28"/>
              </w:rPr>
            </w:pPr>
            <w:r>
              <w:rPr>
                <w:rFonts w:hint="default" w:ascii="仿宋_GB2312" w:hAnsi="仿宋" w:eastAsia="仿宋_GB2312"/>
                <w:spacing w:val="-6"/>
                <w:kern w:val="0"/>
                <w:sz w:val="28"/>
                <w:szCs w:val="28"/>
                <w:u w:val="single"/>
              </w:rPr>
              <w:t xml:space="preserve">          %</w:t>
            </w:r>
            <w:r>
              <w:rPr>
                <w:rFonts w:hint="eastAsia" w:ascii="仿宋_GB2312" w:hAnsi="仿宋" w:eastAsia="仿宋_GB2312"/>
                <w:spacing w:val="-6"/>
                <w:kern w:val="0"/>
                <w:sz w:val="28"/>
                <w:szCs w:val="28"/>
                <w:u w:val="none"/>
                <w:lang w:val="en-US" w:eastAsia="zh-CN"/>
              </w:rPr>
              <w:t>( 根据报价单位实际情况填写）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603" w:type="dxa"/>
            <w:vAlign w:val="center"/>
          </w:tcPr>
          <w:p>
            <w:pPr>
              <w:keepNext w:val="0"/>
              <w:keepLines w:val="0"/>
              <w:widowControl/>
              <w:suppressLineNumbers w:val="0"/>
              <w:autoSpaceDN w:val="0"/>
              <w:spacing w:before="0" w:beforeAutospacing="0" w:after="0" w:afterAutospacing="0"/>
              <w:ind w:left="0" w:right="0"/>
              <w:jc w:val="center"/>
              <w:rPr>
                <w:rFonts w:hint="default" w:ascii="仿宋_GB2312" w:hAnsi="仿宋" w:eastAsia="仿宋_GB2312"/>
                <w:spacing w:val="-6"/>
                <w:kern w:val="0"/>
                <w:sz w:val="28"/>
                <w:szCs w:val="28"/>
              </w:rPr>
            </w:pPr>
            <w:r>
              <w:rPr>
                <w:rFonts w:hint="eastAsia" w:ascii="仿宋_GB2312" w:hAnsi="仿宋" w:eastAsia="仿宋_GB2312"/>
                <w:spacing w:val="-6"/>
                <w:kern w:val="0"/>
                <w:sz w:val="28"/>
                <w:szCs w:val="28"/>
              </w:rPr>
              <w:t>备注</w:t>
            </w:r>
          </w:p>
        </w:tc>
        <w:tc>
          <w:tcPr>
            <w:tcW w:w="8211" w:type="dxa"/>
            <w:vAlign w:val="center"/>
          </w:tcPr>
          <w:p>
            <w:pPr>
              <w:keepNext w:val="0"/>
              <w:keepLines w:val="0"/>
              <w:pageBreakBefore w:val="0"/>
              <w:widowControl/>
              <w:suppressLineNumbers w:val="0"/>
              <w:kinsoku/>
              <w:wordWrap/>
              <w:overflowPunct/>
              <w:topLinePunct w:val="0"/>
              <w:autoSpaceDE/>
              <w:autoSpaceDN w:val="0"/>
              <w:bidi w:val="0"/>
              <w:adjustRightInd/>
              <w:snapToGrid/>
              <w:spacing w:before="0" w:beforeAutospacing="0" w:after="0" w:afterAutospacing="0" w:line="400" w:lineRule="exact"/>
              <w:ind w:left="268" w:right="0" w:rightChars="0" w:hanging="268" w:hangingChars="100"/>
              <w:jc w:val="both"/>
              <w:textAlignment w:val="auto"/>
              <w:outlineLvl w:val="9"/>
              <w:rPr>
                <w:rFonts w:hint="default" w:ascii="仿宋_GB2312" w:hAnsi="仿宋" w:eastAsia="仿宋_GB2312"/>
                <w:spacing w:val="-6"/>
                <w:kern w:val="0"/>
                <w:sz w:val="28"/>
                <w:szCs w:val="28"/>
              </w:rPr>
            </w:pPr>
            <w:r>
              <w:rPr>
                <w:rFonts w:hint="default" w:ascii="仿宋_GB2312" w:hAnsi="仿宋" w:eastAsia="仿宋_GB2312"/>
                <w:spacing w:val="-6"/>
                <w:kern w:val="0"/>
                <w:sz w:val="28"/>
                <w:szCs w:val="28"/>
              </w:rPr>
              <w:t>1.</w:t>
            </w:r>
            <w:r>
              <w:rPr>
                <w:rFonts w:hint="eastAsia" w:ascii="仿宋_GB2312" w:hAnsi="仿宋_GB2312" w:eastAsia="仿宋_GB2312" w:cs="仿宋_GB2312"/>
                <w:sz w:val="28"/>
                <w:szCs w:val="28"/>
              </w:rPr>
              <w:t>报价范围：</w:t>
            </w:r>
            <w:r>
              <w:rPr>
                <w:rFonts w:hint="default" w:ascii="仿宋_GB2312" w:hAnsi="仿宋_GB2312" w:eastAsia="仿宋_GB2312" w:cs="仿宋_GB2312"/>
                <w:b/>
                <w:bCs/>
                <w:color w:val="FF0000"/>
                <w:sz w:val="28"/>
                <w:szCs w:val="28"/>
              </w:rPr>
              <w:t>0%</w:t>
            </w:r>
            <w:r>
              <w:rPr>
                <w:rFonts w:hint="eastAsia" w:ascii="仿宋_GB2312" w:hAnsi="仿宋_GB2312" w:eastAsia="仿宋_GB2312" w:cs="仿宋_GB2312"/>
                <w:b/>
                <w:bCs/>
                <w:color w:val="FF0000"/>
                <w:sz w:val="28"/>
                <w:szCs w:val="28"/>
              </w:rPr>
              <w:t>≤折</w:t>
            </w:r>
            <w:r>
              <w:rPr>
                <w:rFonts w:hint="eastAsia" w:ascii="仿宋_GB2312" w:hAnsi="仿宋_GB2312" w:eastAsia="仿宋_GB2312" w:cs="仿宋_GB2312"/>
                <w:b/>
                <w:bCs/>
                <w:color w:val="FF0000"/>
                <w:sz w:val="28"/>
                <w:szCs w:val="28"/>
                <w:lang w:eastAsia="zh-CN"/>
              </w:rPr>
              <w:t>率</w:t>
            </w:r>
            <w:r>
              <w:rPr>
                <w:rFonts w:hint="eastAsia" w:ascii="仿宋_GB2312" w:hAnsi="仿宋_GB2312" w:eastAsia="仿宋_GB2312" w:cs="仿宋_GB2312"/>
                <w:b/>
                <w:bCs/>
                <w:color w:val="FF0000"/>
                <w:sz w:val="28"/>
                <w:szCs w:val="28"/>
              </w:rPr>
              <w:t>（下浮至）≤</w:t>
            </w:r>
            <w:r>
              <w:rPr>
                <w:rFonts w:hint="default" w:ascii="仿宋_GB2312" w:hAnsi="仿宋_GB2312" w:eastAsia="仿宋_GB2312" w:cs="仿宋_GB2312"/>
                <w:b/>
                <w:bCs/>
                <w:color w:val="FF0000"/>
                <w:sz w:val="28"/>
                <w:szCs w:val="28"/>
              </w:rPr>
              <w:t>100.00%</w:t>
            </w:r>
            <w:r>
              <w:rPr>
                <w:rFonts w:hint="eastAsia" w:ascii="仿宋_GB2312" w:hAnsi="仿宋_GB2312" w:eastAsia="仿宋_GB2312" w:cs="仿宋_GB2312"/>
                <w:spacing w:val="-6"/>
                <w:kern w:val="0"/>
                <w:sz w:val="28"/>
                <w:szCs w:val="28"/>
              </w:rPr>
              <w:t>，</w:t>
            </w:r>
            <w:r>
              <w:rPr>
                <w:rFonts w:hint="eastAsia" w:ascii="仿宋_GB2312" w:hAnsi="仿宋" w:eastAsia="仿宋_GB2312"/>
                <w:spacing w:val="-6"/>
                <w:kern w:val="0"/>
                <w:sz w:val="28"/>
                <w:szCs w:val="28"/>
              </w:rPr>
              <w:t>高于项目限价或超出项目报价范围的报价为无效报价；</w:t>
            </w:r>
          </w:p>
          <w:p>
            <w:pPr>
              <w:keepNext w:val="0"/>
              <w:keepLines w:val="0"/>
              <w:pageBreakBefore w:val="0"/>
              <w:widowControl/>
              <w:suppressLineNumbers w:val="0"/>
              <w:kinsoku/>
              <w:wordWrap/>
              <w:overflowPunct/>
              <w:topLinePunct w:val="0"/>
              <w:autoSpaceDE/>
              <w:autoSpaceDN w:val="0"/>
              <w:bidi w:val="0"/>
              <w:adjustRightInd/>
              <w:snapToGrid/>
              <w:spacing w:before="0" w:beforeAutospacing="0" w:after="0" w:afterAutospacing="0" w:line="400" w:lineRule="exact"/>
              <w:ind w:left="268" w:leftChars="0" w:right="0" w:rightChars="0" w:hanging="268" w:hangingChars="100"/>
              <w:jc w:val="both"/>
              <w:textAlignment w:val="auto"/>
              <w:outlineLvl w:val="9"/>
              <w:rPr>
                <w:rFonts w:hint="default" w:ascii="仿宋_GB2312" w:hAnsi="仿宋" w:eastAsia="仿宋_GB2312"/>
                <w:spacing w:val="-6"/>
                <w:kern w:val="0"/>
                <w:sz w:val="28"/>
                <w:szCs w:val="28"/>
              </w:rPr>
            </w:pPr>
            <w:r>
              <w:rPr>
                <w:rFonts w:hint="default" w:ascii="仿宋_GB2312" w:hAnsi="仿宋" w:eastAsia="仿宋_GB2312"/>
                <w:spacing w:val="-6"/>
                <w:kern w:val="0"/>
                <w:sz w:val="28"/>
                <w:szCs w:val="28"/>
              </w:rPr>
              <w:t>2</w:t>
            </w:r>
            <w:r>
              <w:rPr>
                <w:rFonts w:hint="eastAsia" w:ascii="仿宋_GB2312" w:hAnsi="仿宋" w:eastAsia="仿宋_GB2312"/>
                <w:spacing w:val="-6"/>
                <w:kern w:val="0"/>
                <w:sz w:val="28"/>
                <w:szCs w:val="28"/>
              </w:rPr>
              <w:t>、</w:t>
            </w:r>
            <w:r>
              <w:rPr>
                <w:rFonts w:hint="eastAsia" w:ascii="仿宋_GB2312" w:hAnsi="仿宋" w:eastAsia="仿宋_GB2312"/>
                <w:color w:val="FF0000"/>
                <w:spacing w:val="-6"/>
                <w:kern w:val="0"/>
                <w:sz w:val="28"/>
                <w:szCs w:val="28"/>
              </w:rPr>
              <w:t>采用折</w:t>
            </w:r>
            <w:r>
              <w:rPr>
                <w:rFonts w:hint="eastAsia" w:ascii="仿宋_GB2312" w:hAnsi="仿宋" w:eastAsia="仿宋_GB2312"/>
                <w:color w:val="FF0000"/>
                <w:spacing w:val="-6"/>
                <w:kern w:val="0"/>
                <w:sz w:val="28"/>
                <w:szCs w:val="28"/>
                <w:lang w:eastAsia="zh-CN"/>
              </w:rPr>
              <w:t>率</w:t>
            </w:r>
            <w:r>
              <w:rPr>
                <w:rFonts w:hint="eastAsia" w:ascii="仿宋_GB2312" w:hAnsi="仿宋" w:eastAsia="仿宋_GB2312"/>
                <w:color w:val="FF0000"/>
                <w:spacing w:val="-6"/>
                <w:kern w:val="0"/>
                <w:sz w:val="28"/>
                <w:szCs w:val="28"/>
              </w:rPr>
              <w:t>报价计价说明：</w:t>
            </w:r>
            <w:r>
              <w:rPr>
                <w:rFonts w:hint="eastAsia" w:ascii="仿宋_GB2312" w:hAnsi="仿宋" w:eastAsia="仿宋_GB2312"/>
                <w:color w:val="FF0000"/>
                <w:spacing w:val="-6"/>
                <w:kern w:val="0"/>
                <w:sz w:val="28"/>
                <w:szCs w:val="28"/>
                <w:lang w:eastAsia="zh-CN"/>
              </w:rPr>
              <w:t>税前单价</w:t>
            </w:r>
            <w:r>
              <w:rPr>
                <w:rFonts w:hint="eastAsia" w:ascii="仿宋_GB2312" w:hAnsi="仿宋" w:eastAsia="仿宋_GB2312"/>
                <w:color w:val="FF0000"/>
                <w:spacing w:val="-6"/>
                <w:kern w:val="0"/>
                <w:sz w:val="28"/>
                <w:szCs w:val="28"/>
              </w:rPr>
              <w:t>报价</w:t>
            </w:r>
            <w:r>
              <w:rPr>
                <w:rFonts w:hint="default" w:ascii="仿宋_GB2312" w:hAnsi="仿宋" w:eastAsia="仿宋_GB2312"/>
                <w:color w:val="FF0000"/>
                <w:spacing w:val="-6"/>
                <w:kern w:val="0"/>
                <w:sz w:val="28"/>
                <w:szCs w:val="28"/>
              </w:rPr>
              <w:t>=</w:t>
            </w:r>
            <w:r>
              <w:rPr>
                <w:rFonts w:hint="eastAsia" w:ascii="仿宋_GB2312" w:hAnsi="仿宋" w:eastAsia="仿宋_GB2312"/>
                <w:color w:val="FF0000"/>
                <w:spacing w:val="-6"/>
                <w:kern w:val="0"/>
                <w:sz w:val="28"/>
                <w:szCs w:val="28"/>
              </w:rPr>
              <w:t>（</w:t>
            </w:r>
            <w:r>
              <w:rPr>
                <w:rFonts w:hint="eastAsia" w:ascii="仿宋_GB2312" w:hAnsi="仿宋" w:eastAsia="仿宋_GB2312"/>
                <w:color w:val="FF0000"/>
                <w:spacing w:val="-6"/>
                <w:kern w:val="0"/>
                <w:sz w:val="28"/>
                <w:szCs w:val="28"/>
                <w:lang w:eastAsia="zh-CN"/>
              </w:rPr>
              <w:t>不含税上限单价</w:t>
            </w:r>
            <w:r>
              <w:rPr>
                <w:rFonts w:hint="eastAsia" w:ascii="仿宋_GB2312" w:hAnsi="仿宋" w:eastAsia="仿宋_GB2312"/>
                <w:color w:val="FF0000"/>
                <w:spacing w:val="-6"/>
                <w:kern w:val="0"/>
                <w:sz w:val="28"/>
                <w:szCs w:val="28"/>
              </w:rPr>
              <w:t>）×折</w:t>
            </w:r>
            <w:r>
              <w:rPr>
                <w:rFonts w:hint="eastAsia" w:ascii="仿宋_GB2312" w:hAnsi="仿宋" w:eastAsia="仿宋_GB2312"/>
                <w:color w:val="FF0000"/>
                <w:spacing w:val="-6"/>
                <w:kern w:val="0"/>
                <w:sz w:val="28"/>
                <w:szCs w:val="28"/>
                <w:lang w:eastAsia="zh-CN"/>
              </w:rPr>
              <w:t>率</w:t>
            </w:r>
            <w:r>
              <w:rPr>
                <w:rFonts w:hint="eastAsia" w:ascii="仿宋_GB2312" w:hAnsi="仿宋" w:eastAsia="仿宋_GB2312"/>
                <w:color w:val="FF0000"/>
                <w:spacing w:val="-6"/>
                <w:kern w:val="0"/>
                <w:sz w:val="28"/>
                <w:szCs w:val="28"/>
              </w:rPr>
              <w:t>，如</w:t>
            </w:r>
            <w:r>
              <w:rPr>
                <w:rFonts w:hint="eastAsia" w:ascii="仿宋_GB2312" w:hAnsi="仿宋" w:eastAsia="仿宋_GB2312"/>
                <w:color w:val="FF0000"/>
                <w:spacing w:val="-6"/>
                <w:kern w:val="0"/>
                <w:sz w:val="28"/>
                <w:szCs w:val="28"/>
                <w:lang w:eastAsia="zh-CN"/>
              </w:rPr>
              <w:t>：</w:t>
            </w:r>
            <w:r>
              <w:rPr>
                <w:rFonts w:hint="eastAsia" w:ascii="仿宋_GB2312" w:hAnsi="仿宋" w:eastAsia="仿宋_GB2312"/>
                <w:color w:val="FF0000"/>
                <w:spacing w:val="-6"/>
                <w:kern w:val="0"/>
                <w:sz w:val="28"/>
                <w:szCs w:val="28"/>
              </w:rPr>
              <w:t>（</w:t>
            </w:r>
            <w:r>
              <w:rPr>
                <w:rFonts w:hint="eastAsia" w:ascii="仿宋_GB2312" w:hAnsi="仿宋" w:eastAsia="仿宋_GB2312"/>
                <w:color w:val="FF0000"/>
                <w:spacing w:val="-6"/>
                <w:kern w:val="0"/>
                <w:sz w:val="28"/>
                <w:szCs w:val="28"/>
                <w:lang w:eastAsia="zh-CN"/>
              </w:rPr>
              <w:t>不含税上限单价</w:t>
            </w:r>
            <w:r>
              <w:rPr>
                <w:rFonts w:hint="eastAsia" w:ascii="仿宋_GB2312" w:hAnsi="仿宋" w:eastAsia="仿宋_GB2312"/>
                <w:color w:val="FF0000"/>
                <w:spacing w:val="-6"/>
                <w:kern w:val="0"/>
                <w:sz w:val="28"/>
                <w:szCs w:val="28"/>
              </w:rPr>
              <w:t>）为</w:t>
            </w:r>
            <w:r>
              <w:rPr>
                <w:rFonts w:hint="default" w:ascii="仿宋_GB2312" w:hAnsi="仿宋" w:eastAsia="仿宋_GB2312"/>
                <w:color w:val="FF0000"/>
                <w:spacing w:val="-6"/>
                <w:kern w:val="0"/>
                <w:sz w:val="28"/>
                <w:szCs w:val="28"/>
              </w:rPr>
              <w:t>10</w:t>
            </w:r>
            <w:r>
              <w:rPr>
                <w:rFonts w:hint="eastAsia" w:ascii="仿宋_GB2312" w:hAnsi="仿宋" w:eastAsia="仿宋_GB2312"/>
                <w:color w:val="FF0000"/>
                <w:spacing w:val="-6"/>
                <w:kern w:val="0"/>
                <w:sz w:val="28"/>
                <w:szCs w:val="28"/>
              </w:rPr>
              <w:t>元，折</w:t>
            </w:r>
            <w:r>
              <w:rPr>
                <w:rFonts w:hint="eastAsia" w:ascii="仿宋_GB2312" w:hAnsi="仿宋" w:eastAsia="仿宋_GB2312"/>
                <w:color w:val="FF0000"/>
                <w:spacing w:val="-6"/>
                <w:kern w:val="0"/>
                <w:sz w:val="28"/>
                <w:szCs w:val="28"/>
                <w:lang w:eastAsia="zh-CN"/>
              </w:rPr>
              <w:t>率</w:t>
            </w:r>
            <w:r>
              <w:rPr>
                <w:rFonts w:hint="eastAsia" w:ascii="仿宋_GB2312" w:hAnsi="仿宋" w:eastAsia="仿宋_GB2312"/>
                <w:color w:val="FF0000"/>
                <w:spacing w:val="-6"/>
                <w:kern w:val="0"/>
                <w:sz w:val="28"/>
                <w:szCs w:val="28"/>
              </w:rPr>
              <w:t>为</w:t>
            </w:r>
            <w:r>
              <w:rPr>
                <w:rFonts w:hint="default" w:ascii="仿宋_GB2312" w:hAnsi="仿宋" w:eastAsia="仿宋_GB2312"/>
                <w:color w:val="FF0000"/>
                <w:spacing w:val="-6"/>
                <w:kern w:val="0"/>
                <w:sz w:val="28"/>
                <w:szCs w:val="28"/>
              </w:rPr>
              <w:t>90%</w:t>
            </w:r>
            <w:r>
              <w:rPr>
                <w:rFonts w:hint="eastAsia" w:ascii="仿宋_GB2312" w:hAnsi="仿宋" w:eastAsia="仿宋_GB2312"/>
                <w:color w:val="FF0000"/>
                <w:spacing w:val="-6"/>
                <w:kern w:val="0"/>
                <w:sz w:val="28"/>
                <w:szCs w:val="28"/>
              </w:rPr>
              <w:t>，</w:t>
            </w:r>
            <w:r>
              <w:rPr>
                <w:rFonts w:hint="eastAsia" w:ascii="仿宋_GB2312" w:hAnsi="仿宋" w:eastAsia="仿宋_GB2312"/>
                <w:color w:val="FF0000"/>
                <w:spacing w:val="-6"/>
                <w:kern w:val="0"/>
                <w:sz w:val="28"/>
                <w:szCs w:val="28"/>
                <w:lang w:eastAsia="zh-CN"/>
              </w:rPr>
              <w:t>税前单价</w:t>
            </w:r>
            <w:r>
              <w:rPr>
                <w:rFonts w:hint="eastAsia" w:ascii="仿宋_GB2312" w:hAnsi="仿宋" w:eastAsia="仿宋_GB2312"/>
                <w:color w:val="FF0000"/>
                <w:spacing w:val="-6"/>
                <w:kern w:val="0"/>
                <w:sz w:val="28"/>
                <w:szCs w:val="28"/>
              </w:rPr>
              <w:t>报价</w:t>
            </w:r>
            <w:r>
              <w:rPr>
                <w:rFonts w:hint="default" w:ascii="仿宋_GB2312" w:hAnsi="仿宋" w:eastAsia="仿宋_GB2312"/>
                <w:color w:val="FF0000"/>
                <w:spacing w:val="-6"/>
                <w:kern w:val="0"/>
                <w:sz w:val="28"/>
                <w:szCs w:val="28"/>
              </w:rPr>
              <w:t>=10</w:t>
            </w:r>
            <w:r>
              <w:rPr>
                <w:rFonts w:hint="eastAsia" w:ascii="仿宋_GB2312" w:hAnsi="仿宋" w:eastAsia="仿宋_GB2312"/>
                <w:color w:val="FF0000"/>
                <w:spacing w:val="-6"/>
                <w:kern w:val="0"/>
                <w:sz w:val="28"/>
                <w:szCs w:val="28"/>
              </w:rPr>
              <w:t>×</w:t>
            </w:r>
            <w:r>
              <w:rPr>
                <w:rFonts w:hint="default" w:ascii="仿宋_GB2312" w:hAnsi="仿宋" w:eastAsia="仿宋_GB2312"/>
                <w:color w:val="FF0000"/>
                <w:spacing w:val="-6"/>
                <w:kern w:val="0"/>
                <w:sz w:val="28"/>
                <w:szCs w:val="28"/>
              </w:rPr>
              <w:t>90%=9</w:t>
            </w:r>
            <w:r>
              <w:rPr>
                <w:rFonts w:hint="eastAsia" w:ascii="仿宋_GB2312" w:hAnsi="仿宋" w:eastAsia="仿宋_GB2312"/>
                <w:color w:val="FF0000"/>
                <w:spacing w:val="-6"/>
                <w:kern w:val="0"/>
                <w:sz w:val="28"/>
                <w:szCs w:val="28"/>
              </w:rPr>
              <w:t>元</w:t>
            </w:r>
            <w:r>
              <w:rPr>
                <w:rFonts w:hint="eastAsia" w:ascii="仿宋_GB2312" w:hAnsi="仿宋" w:eastAsia="仿宋_GB2312"/>
                <w:color w:val="FF0000"/>
                <w:spacing w:val="-6"/>
                <w:kern w:val="0"/>
                <w:sz w:val="28"/>
                <w:szCs w:val="28"/>
                <w:lang w:eastAsia="zh-CN"/>
              </w:rPr>
              <w:t>；</w:t>
            </w:r>
          </w:p>
        </w:tc>
      </w:tr>
    </w:tbl>
    <w:p>
      <w:pPr>
        <w:keepNext w:val="0"/>
        <w:keepLines w:val="0"/>
        <w:pageBreakBefore w:val="0"/>
        <w:kinsoku/>
        <w:wordWrap/>
        <w:overflowPunct/>
        <w:topLinePunct w:val="0"/>
        <w:autoSpaceDE/>
        <w:bidi w:val="0"/>
        <w:adjustRightInd/>
        <w:snapToGrid/>
        <w:spacing w:line="520" w:lineRule="exact"/>
        <w:ind w:right="0" w:right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填写说明及要求：</w:t>
      </w:r>
    </w:p>
    <w:p>
      <w:pPr>
        <w:keepNext w:val="0"/>
        <w:keepLines w:val="0"/>
        <w:pageBreakBefore w:val="0"/>
        <w:widowControl/>
        <w:kinsoku/>
        <w:wordWrap/>
        <w:overflowPunct/>
        <w:topLinePunct w:val="0"/>
        <w:autoSpaceDE/>
        <w:autoSpaceDN w:val="0"/>
        <w:bidi w:val="0"/>
        <w:adjustRightInd/>
        <w:snapToGrid/>
        <w:spacing w:line="340" w:lineRule="exact"/>
        <w:ind w:left="0" w:leftChars="0" w:right="0" w:rightChars="0" w:firstLine="0" w:firstLineChars="0"/>
        <w:jc w:val="both"/>
        <w:textAlignment w:val="auto"/>
        <w:outlineLvl w:val="9"/>
        <w:rPr>
          <w:rFonts w:ascii="仿宋_GB2312" w:hAnsi="仿宋_GB2312" w:eastAsia="仿宋_GB2312" w:cs="仿宋_GB2312"/>
          <w:b w:val="0"/>
          <w:color w:val="auto"/>
          <w:kern w:val="0"/>
          <w:sz w:val="28"/>
          <w:szCs w:val="28"/>
        </w:rPr>
      </w:pPr>
      <w:r>
        <w:rPr>
          <w:rFonts w:hint="eastAsia" w:ascii="仿宋_GB2312" w:hAnsi="仿宋_GB2312" w:eastAsia="仿宋_GB2312" w:cs="仿宋_GB2312"/>
          <w:spacing w:val="-6"/>
          <w:kern w:val="0"/>
          <w:sz w:val="28"/>
          <w:szCs w:val="28"/>
        </w:rPr>
        <w:t>1.报价</w:t>
      </w:r>
      <w:r>
        <w:rPr>
          <w:rFonts w:hint="eastAsia" w:ascii="仿宋_GB2312" w:hAnsi="宋体" w:eastAsia="仿宋_GB2312"/>
          <w:spacing w:val="-6"/>
          <w:kern w:val="0"/>
          <w:sz w:val="28"/>
          <w:szCs w:val="28"/>
        </w:rPr>
        <w:t>包括但</w:t>
      </w:r>
      <w:r>
        <w:rPr>
          <w:rFonts w:hint="eastAsia" w:ascii="仿宋_GB2312" w:hAnsi="仿宋" w:eastAsia="仿宋_GB2312"/>
          <w:spacing w:val="-6"/>
          <w:kern w:val="0"/>
          <w:sz w:val="28"/>
          <w:szCs w:val="28"/>
        </w:rPr>
        <w:t>不限于货物的采购、包装、搬运、现场技术指导、装卸、保险、检验、验收以及提供的相关服务（如培训、售后、运维）和企业管理费、利润、税费等一切完成本项目发生的可预见和不可预见的费用</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val="0"/>
        <w:bidi w:val="0"/>
        <w:adjustRightInd/>
        <w:snapToGrid/>
        <w:spacing w:line="340" w:lineRule="exact"/>
        <w:ind w:left="0" w:leftChars="0" w:right="0" w:rightChars="0" w:firstLine="0" w:firstLineChars="0"/>
        <w:jc w:val="both"/>
        <w:textAlignment w:val="auto"/>
        <w:outlineLvl w:val="9"/>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报价必须为唯一报价，不接受选择性报价。</w:t>
      </w:r>
    </w:p>
    <w:p>
      <w:pPr>
        <w:keepNext w:val="0"/>
        <w:keepLines w:val="0"/>
        <w:pageBreakBefore w:val="0"/>
        <w:widowControl/>
        <w:kinsoku/>
        <w:wordWrap/>
        <w:overflowPunct/>
        <w:topLinePunct w:val="0"/>
        <w:autoSpaceDE/>
        <w:autoSpaceDN w:val="0"/>
        <w:bidi w:val="0"/>
        <w:adjustRightInd/>
        <w:snapToGrid/>
        <w:spacing w:line="340" w:lineRule="exact"/>
        <w:ind w:left="0" w:leftChars="0" w:right="0" w:rightChars="0" w:firstLine="0" w:firstLineChars="0"/>
        <w:jc w:val="both"/>
        <w:textAlignment w:val="auto"/>
        <w:outlineLvl w:val="9"/>
        <w:rPr>
          <w:rFonts w:ascii="仿宋_GB2312" w:hAnsi="仿宋_GB2312" w:eastAsia="仿宋_GB2312" w:cs="仿宋_GB2312"/>
          <w:kern w:val="0"/>
          <w:sz w:val="28"/>
          <w:szCs w:val="28"/>
        </w:rPr>
      </w:pPr>
      <w:r>
        <w:rPr>
          <w:rFonts w:ascii="仿宋_GB2312" w:hAnsi="仿宋_GB2312" w:eastAsia="仿宋_GB2312" w:cs="仿宋_GB2312"/>
          <w:kern w:val="0"/>
          <w:sz w:val="28"/>
          <w:szCs w:val="28"/>
        </w:rPr>
        <w:t>3.</w:t>
      </w:r>
      <w:r>
        <w:rPr>
          <w:rFonts w:hint="eastAsia" w:ascii="仿宋_GB2312" w:hAnsi="仿宋_GB2312" w:eastAsia="仿宋_GB2312" w:cs="仿宋_GB2312"/>
          <w:kern w:val="0"/>
          <w:sz w:val="28"/>
          <w:szCs w:val="28"/>
        </w:rPr>
        <w:t>报价单位不得擅自修改报价限价、报价方式、参考采购数量（若有），否则该报价单位的报价无效。</w:t>
      </w:r>
    </w:p>
    <w:p>
      <w:pPr>
        <w:keepNext w:val="0"/>
        <w:keepLines w:val="0"/>
        <w:pageBreakBefore w:val="0"/>
        <w:widowControl/>
        <w:kinsoku/>
        <w:wordWrap/>
        <w:overflowPunct/>
        <w:topLinePunct w:val="0"/>
        <w:autoSpaceDE/>
        <w:autoSpaceDN w:val="0"/>
        <w:bidi w:val="0"/>
        <w:adjustRightInd/>
        <w:snapToGrid/>
        <w:spacing w:line="340" w:lineRule="exact"/>
        <w:ind w:left="0" w:leftChars="0" w:right="0" w:rightChars="0" w:firstLine="0" w:firstLineChars="0"/>
        <w:jc w:val="both"/>
        <w:textAlignment w:val="auto"/>
        <w:outlineLvl w:val="9"/>
        <w:rPr>
          <w:rFonts w:ascii="仿宋_GB2312" w:hAnsi="仿宋_GB2312" w:eastAsia="仿宋_GB2312" w:cs="仿宋_GB2312"/>
          <w:b w:val="0"/>
          <w:color w:val="auto"/>
          <w:kern w:val="0"/>
          <w:sz w:val="28"/>
          <w:szCs w:val="28"/>
        </w:rPr>
      </w:pPr>
      <w:r>
        <w:rPr>
          <w:rFonts w:ascii="仿宋_GB2312" w:hAnsi="仿宋_GB2312" w:eastAsia="仿宋_GB2312" w:cs="仿宋_GB2312"/>
          <w:kern w:val="0"/>
          <w:sz w:val="28"/>
          <w:szCs w:val="28"/>
        </w:rPr>
        <w:t>4</w:t>
      </w:r>
      <w:r>
        <w:rPr>
          <w:rFonts w:hint="eastAsia" w:ascii="仿宋_GB2312" w:hAnsi="仿宋_GB2312" w:eastAsia="仿宋_GB2312" w:cs="仿宋_GB2312"/>
          <w:kern w:val="0"/>
          <w:sz w:val="28"/>
          <w:szCs w:val="28"/>
          <w:lang w:val="en-US" w:eastAsia="zh-CN"/>
        </w:rPr>
        <w:t>.</w:t>
      </w:r>
      <w:r>
        <w:rPr>
          <w:rFonts w:hint="eastAsia" w:ascii="仿宋_GB2312" w:hAnsi="仿宋_GB2312" w:eastAsia="仿宋_GB2312" w:cs="仿宋_GB2312"/>
          <w:kern w:val="0"/>
          <w:sz w:val="28"/>
          <w:szCs w:val="28"/>
        </w:rPr>
        <w:t>单位负责人为同一人或者存在控股、管理关系的不同单位，不得同时参加本项目，否则均视为无效报价。</w:t>
      </w:r>
    </w:p>
    <w:p>
      <w:pPr>
        <w:keepNext w:val="0"/>
        <w:keepLines w:val="0"/>
        <w:pageBreakBefore w:val="0"/>
        <w:widowControl/>
        <w:kinsoku/>
        <w:wordWrap/>
        <w:overflowPunct/>
        <w:topLinePunct w:val="0"/>
        <w:autoSpaceDE/>
        <w:autoSpaceDN w:val="0"/>
        <w:bidi w:val="0"/>
        <w:adjustRightInd/>
        <w:snapToGrid/>
        <w:spacing w:line="340" w:lineRule="exact"/>
        <w:ind w:left="0" w:leftChars="0" w:right="0" w:rightChars="0" w:firstLine="0" w:firstLineChars="0"/>
        <w:jc w:val="both"/>
        <w:textAlignment w:val="auto"/>
        <w:outlineLvl w:val="9"/>
        <w:rPr>
          <w:rFonts w:ascii="仿宋_GB2312" w:hAnsi="仿宋_GB2312" w:eastAsia="仿宋_GB2312" w:cs="仿宋_GB2312"/>
          <w:b w:val="0"/>
          <w:color w:val="auto"/>
          <w:kern w:val="0"/>
          <w:sz w:val="28"/>
          <w:szCs w:val="28"/>
        </w:rPr>
      </w:pPr>
      <w:r>
        <w:rPr>
          <w:rFonts w:ascii="仿宋_GB2312" w:hAnsi="仿宋_GB2312" w:eastAsia="仿宋_GB2312" w:cs="仿宋_GB2312"/>
          <w:kern w:val="0"/>
          <w:sz w:val="28"/>
          <w:szCs w:val="28"/>
        </w:rPr>
        <w:t>5.</w:t>
      </w:r>
      <w:r>
        <w:rPr>
          <w:rFonts w:hint="eastAsia" w:ascii="仿宋_GB2312" w:hAnsi="仿宋_GB2312" w:eastAsia="仿宋_GB2312" w:cs="仿宋_GB2312"/>
          <w:kern w:val="0"/>
          <w:sz w:val="28"/>
          <w:szCs w:val="28"/>
        </w:rPr>
        <w:t>报价单位已被视为充分理解本次报价项目及其《报价邀请函》的所有要求。报价单位应自行权衡相关风险，决策是否参加报价。不接受报价单位对于项目限价、报价范围的异议。</w:t>
      </w:r>
    </w:p>
    <w:p>
      <w:pPr>
        <w:pStyle w:val="3"/>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eastAsia" w:ascii="仿宋_GB2312" w:eastAsia="仿宋_GB2312" w:cs="??_GB2312"/>
          <w:b w:val="0"/>
          <w:color w:val="auto"/>
          <w:kern w:val="0"/>
          <w:sz w:val="13"/>
          <w:szCs w:val="13"/>
        </w:rPr>
      </w:pPr>
    </w:p>
    <w:p>
      <w:pPr>
        <w:pStyle w:val="3"/>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ascii="仿宋_GB2312" w:eastAsia="仿宋_GB2312" w:cs="??_GB2312"/>
          <w:b w:val="0"/>
          <w:color w:val="auto"/>
          <w:kern w:val="0"/>
          <w:sz w:val="28"/>
          <w:szCs w:val="28"/>
        </w:rPr>
      </w:pPr>
      <w:r>
        <w:rPr>
          <w:rFonts w:hint="eastAsia" w:ascii="仿宋_GB2312" w:eastAsia="仿宋_GB2312" w:cs="??_GB2312"/>
          <w:b w:val="0"/>
          <w:color w:val="auto"/>
          <w:kern w:val="0"/>
          <w:sz w:val="28"/>
          <w:szCs w:val="28"/>
        </w:rPr>
        <w:t>报价单位（公章）：</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eastAsia" w:ascii="仿宋_GB2312" w:hAnsi="宋体" w:eastAsia="仿宋_GB2312" w:cs="??_GB2312"/>
          <w:kern w:val="0"/>
          <w:sz w:val="28"/>
          <w:szCs w:val="28"/>
        </w:rPr>
      </w:pPr>
      <w:r>
        <w:rPr>
          <w:rFonts w:hint="eastAsia" w:ascii="仿宋_GB2312" w:hAnsi="宋体" w:eastAsia="仿宋_GB2312" w:cs="??_GB2312"/>
          <w:kern w:val="0"/>
          <w:sz w:val="28"/>
          <w:szCs w:val="28"/>
        </w:rPr>
        <w:t>日期：</w:t>
      </w:r>
      <w:r>
        <w:rPr>
          <w:rFonts w:ascii="仿宋_GB2312" w:hAnsi="宋体" w:eastAsia="仿宋_GB2312" w:cs="??_GB2312"/>
          <w:kern w:val="0"/>
          <w:sz w:val="28"/>
          <w:szCs w:val="28"/>
        </w:rPr>
        <w:t xml:space="preserve">    </w:t>
      </w:r>
      <w:r>
        <w:rPr>
          <w:rFonts w:hint="eastAsia" w:ascii="仿宋_GB2312" w:hAnsi="宋体" w:eastAsia="仿宋_GB2312" w:cs="??_GB2312"/>
          <w:kern w:val="0"/>
          <w:sz w:val="28"/>
          <w:szCs w:val="28"/>
        </w:rPr>
        <w:t>年</w:t>
      </w:r>
      <w:r>
        <w:rPr>
          <w:rFonts w:ascii="仿宋_GB2312" w:hAnsi="宋体" w:eastAsia="仿宋_GB2312" w:cs="??_GB2312"/>
          <w:kern w:val="0"/>
          <w:sz w:val="28"/>
          <w:szCs w:val="28"/>
        </w:rPr>
        <w:t xml:space="preserve">    </w:t>
      </w:r>
      <w:r>
        <w:rPr>
          <w:rFonts w:hint="eastAsia" w:ascii="仿宋_GB2312" w:hAnsi="宋体" w:eastAsia="仿宋_GB2312" w:cs="??_GB2312"/>
          <w:kern w:val="0"/>
          <w:sz w:val="28"/>
          <w:szCs w:val="28"/>
        </w:rPr>
        <w:t>月</w:t>
      </w:r>
      <w:r>
        <w:rPr>
          <w:rFonts w:ascii="仿宋_GB2312" w:hAnsi="宋体" w:eastAsia="仿宋_GB2312" w:cs="??_GB2312"/>
          <w:kern w:val="0"/>
          <w:sz w:val="28"/>
          <w:szCs w:val="28"/>
        </w:rPr>
        <w:t xml:space="preserve">    </w:t>
      </w:r>
      <w:r>
        <w:rPr>
          <w:rFonts w:hint="eastAsia" w:ascii="仿宋_GB2312" w:hAnsi="宋体" w:eastAsia="仿宋_GB2312" w:cs="??_GB2312"/>
          <w:kern w:val="0"/>
          <w:sz w:val="28"/>
          <w:szCs w:val="28"/>
        </w:rPr>
        <w:t>日</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eastAsia" w:ascii="仿宋_GB2312" w:hAnsi="宋体" w:eastAsia="仿宋_GB2312"/>
          <w:sz w:val="28"/>
          <w:szCs w:val="28"/>
        </w:rPr>
      </w:pPr>
      <w:r>
        <w:rPr>
          <w:rFonts w:hint="eastAsia" w:ascii="仿宋_GB2312" w:hAnsi="宋体" w:eastAsia="仿宋_GB2312"/>
          <w:sz w:val="28"/>
          <w:szCs w:val="28"/>
        </w:rPr>
        <w:t>联系人：</w:t>
      </w:r>
      <w:r>
        <w:rPr>
          <w:rFonts w:ascii="仿宋_GB2312" w:hAnsi="宋体" w:eastAsia="仿宋_GB2312"/>
          <w:sz w:val="28"/>
          <w:szCs w:val="28"/>
        </w:rPr>
        <w:t xml:space="preserve">         </w:t>
      </w:r>
      <w:r>
        <w:rPr>
          <w:rFonts w:hint="eastAsia" w:ascii="仿宋_GB2312" w:hAnsi="宋体" w:eastAsia="仿宋_GB2312"/>
          <w:sz w:val="28"/>
          <w:szCs w:val="28"/>
        </w:rPr>
        <w:t>电话：</w:t>
      </w:r>
    </w:p>
    <w:p>
      <w:pPr>
        <w:pageBreakBefore/>
        <w:autoSpaceDN w:val="0"/>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4</w:t>
      </w:r>
      <w:r>
        <w:rPr>
          <w:rFonts w:hint="eastAsia" w:ascii="仿宋_GB2312" w:hAnsi="仿宋_GB2312" w:eastAsia="仿宋_GB2312" w:cs="仿宋_GB2312"/>
          <w:kern w:val="0"/>
          <w:sz w:val="28"/>
          <w:szCs w:val="28"/>
        </w:rPr>
        <w:t>：</w:t>
      </w:r>
    </w:p>
    <w:p>
      <w:pPr>
        <w:keepNext w:val="0"/>
        <w:keepLines w:val="0"/>
        <w:pageBreakBefore w:val="0"/>
        <w:widowControl w:val="0"/>
        <w:kinsoku/>
        <w:wordWrap/>
        <w:overflowPunct/>
        <w:topLinePunct w:val="0"/>
        <w:autoSpaceDE/>
        <w:autoSpaceDN w:val="0"/>
        <w:bidi w:val="0"/>
        <w:adjustRightInd/>
        <w:snapToGrid/>
        <w:jc w:val="center"/>
        <w:textAlignment w:val="auto"/>
        <w:rPr>
          <w:b/>
          <w:sz w:val="28"/>
          <w:szCs w:val="28"/>
        </w:rPr>
      </w:pPr>
      <w:r>
        <w:rPr>
          <w:rFonts w:hint="eastAsia"/>
          <w:b/>
          <w:sz w:val="28"/>
          <w:szCs w:val="28"/>
        </w:rPr>
        <w:t>折</w:t>
      </w:r>
      <w:r>
        <w:rPr>
          <w:rFonts w:hint="eastAsia"/>
          <w:b/>
          <w:sz w:val="28"/>
          <w:szCs w:val="28"/>
          <w:lang w:eastAsia="zh-CN"/>
        </w:rPr>
        <w:t>率</w:t>
      </w:r>
      <w:r>
        <w:rPr>
          <w:rFonts w:hint="eastAsia"/>
          <w:b/>
          <w:sz w:val="28"/>
          <w:szCs w:val="28"/>
        </w:rPr>
        <w:t>后各项目报价表</w:t>
      </w:r>
    </w:p>
    <w:tbl>
      <w:tblPr>
        <w:tblStyle w:val="13"/>
        <w:tblW w:w="10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815"/>
        <w:gridCol w:w="2445"/>
        <w:gridCol w:w="825"/>
        <w:gridCol w:w="1245"/>
        <w:gridCol w:w="153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jc w:val="center"/>
        </w:trPr>
        <w:tc>
          <w:tcPr>
            <w:tcW w:w="697" w:type="dxa"/>
            <w:vAlign w:val="center"/>
          </w:tcPr>
          <w:p>
            <w:pPr>
              <w:keepNext w:val="0"/>
              <w:keepLines w:val="0"/>
              <w:pageBreakBefore w:val="0"/>
              <w:suppressLineNumbers w:val="0"/>
              <w:kinsoku/>
              <w:wordWrap/>
              <w:overflowPunct/>
              <w:topLinePunct w:val="0"/>
              <w:autoSpaceDE/>
              <w:bidi w:val="0"/>
              <w:adjustRightInd/>
              <w:snapToGrid/>
              <w:spacing w:before="0" w:beforeAutospacing="0" w:after="0" w:afterAutospacing="0" w:line="360" w:lineRule="exact"/>
              <w:ind w:left="0" w:right="0"/>
              <w:jc w:val="center"/>
              <w:rPr>
                <w:rFonts w:hint="default" w:ascii="仿宋_GB2312" w:eastAsia="仿宋_GB2312" w:cs="宋体"/>
                <w:b/>
                <w:bCs/>
                <w:sz w:val="28"/>
                <w:szCs w:val="28"/>
              </w:rPr>
            </w:pPr>
            <w:r>
              <w:rPr>
                <w:rFonts w:hint="eastAsia" w:ascii="仿宋_GB2312" w:hAnsi="宋体" w:eastAsia="仿宋_GB2312" w:cs="宋体"/>
                <w:b/>
                <w:bCs/>
                <w:sz w:val="28"/>
                <w:szCs w:val="28"/>
              </w:rPr>
              <w:t>序号</w:t>
            </w:r>
          </w:p>
        </w:tc>
        <w:tc>
          <w:tcPr>
            <w:tcW w:w="1815" w:type="dxa"/>
            <w:vAlign w:val="center"/>
          </w:tcPr>
          <w:p>
            <w:pPr>
              <w:keepNext w:val="0"/>
              <w:keepLines w:val="0"/>
              <w:pageBreakBefore w:val="0"/>
              <w:widowControl/>
              <w:suppressLineNumbers w:val="0"/>
              <w:kinsoku/>
              <w:wordWrap/>
              <w:overflowPunct/>
              <w:topLinePunct w:val="0"/>
              <w:autoSpaceDE/>
              <w:bidi w:val="0"/>
              <w:adjustRightInd/>
              <w:snapToGrid/>
              <w:spacing w:before="0" w:beforeAutospacing="0" w:after="0" w:afterAutospacing="0" w:line="360" w:lineRule="exact"/>
              <w:ind w:left="0" w:leftChars="0" w:right="0" w:rightChars="0"/>
              <w:jc w:val="center"/>
              <w:textAlignment w:val="center"/>
              <w:rPr>
                <w:rFonts w:hint="default" w:ascii="仿宋_GB2312" w:eastAsia="仿宋_GB2312" w:cs="宋体"/>
                <w:b/>
                <w:bCs/>
                <w:sz w:val="28"/>
                <w:szCs w:val="28"/>
              </w:rPr>
            </w:pPr>
            <w:r>
              <w:rPr>
                <w:rFonts w:hint="eastAsia" w:ascii="仿宋_GB2312" w:hAnsi="仿宋_GB2312" w:eastAsia="仿宋_GB2312" w:cs="仿宋_GB2312"/>
                <w:b/>
                <w:bCs/>
                <w:i w:val="0"/>
                <w:iCs w:val="0"/>
                <w:color w:val="000000"/>
                <w:kern w:val="0"/>
                <w:sz w:val="28"/>
                <w:szCs w:val="28"/>
                <w:u w:val="none"/>
                <w:lang w:val="en-US" w:eastAsia="zh-CN" w:bidi="ar"/>
              </w:rPr>
              <w:t>货物内容</w:t>
            </w:r>
          </w:p>
        </w:tc>
        <w:tc>
          <w:tcPr>
            <w:tcW w:w="24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_GB2312" w:eastAsia="仿宋_GB2312" w:cs="宋体"/>
                <w:b/>
                <w:bCs/>
                <w:snapToGrid w:val="0"/>
                <w:color w:val="000000"/>
                <w:kern w:val="0"/>
                <w:sz w:val="28"/>
                <w:szCs w:val="28"/>
                <w:lang w:eastAsia="zh-CN"/>
              </w:rPr>
            </w:pPr>
            <w:r>
              <w:rPr>
                <w:rFonts w:hint="eastAsia" w:ascii="仿宋_GB2312" w:hAnsi="仿宋_GB2312" w:eastAsia="仿宋_GB2312" w:cs="仿宋_GB2312"/>
                <w:b/>
                <w:bCs/>
                <w:color w:val="000000"/>
                <w:kern w:val="0"/>
                <w:sz w:val="28"/>
                <w:szCs w:val="28"/>
                <w:lang w:eastAsia="zh-CN" w:bidi="ar"/>
              </w:rPr>
              <w:t>规格型号</w:t>
            </w:r>
          </w:p>
        </w:tc>
        <w:tc>
          <w:tcPr>
            <w:tcW w:w="825" w:type="dxa"/>
            <w:vAlign w:val="center"/>
          </w:tcPr>
          <w:p>
            <w:pPr>
              <w:keepNext w:val="0"/>
              <w:keepLines w:val="0"/>
              <w:pageBreakBefore w:val="0"/>
              <w:suppressLineNumbers w:val="0"/>
              <w:kinsoku/>
              <w:wordWrap/>
              <w:overflowPunct/>
              <w:topLinePunct w:val="0"/>
              <w:autoSpaceDE/>
              <w:bidi w:val="0"/>
              <w:adjustRightInd/>
              <w:snapToGrid/>
              <w:spacing w:before="0" w:beforeAutospacing="0" w:after="0" w:afterAutospacing="0" w:line="360" w:lineRule="exact"/>
              <w:ind w:left="0" w:leftChars="0" w:right="0" w:rightChars="0"/>
              <w:jc w:val="center"/>
              <w:rPr>
                <w:rFonts w:hint="default" w:ascii="仿宋_GB2312" w:eastAsia="仿宋_GB2312" w:cs="宋体"/>
                <w:b/>
                <w:bCs/>
                <w:snapToGrid w:val="0"/>
                <w:color w:val="000000"/>
                <w:kern w:val="0"/>
                <w:sz w:val="28"/>
                <w:szCs w:val="28"/>
              </w:rPr>
            </w:pPr>
            <w:r>
              <w:rPr>
                <w:rFonts w:hint="eastAsia" w:ascii="仿宋_GB2312" w:hAnsi="宋体" w:eastAsia="仿宋_GB2312" w:cs="宋体"/>
                <w:b/>
                <w:bCs/>
                <w:snapToGrid w:val="0"/>
                <w:color w:val="000000"/>
                <w:kern w:val="0"/>
                <w:sz w:val="28"/>
                <w:szCs w:val="28"/>
              </w:rPr>
              <w:t>单位</w:t>
            </w:r>
          </w:p>
        </w:tc>
        <w:tc>
          <w:tcPr>
            <w:tcW w:w="1245" w:type="dxa"/>
            <w:vAlign w:val="center"/>
          </w:tcPr>
          <w:p>
            <w:pPr>
              <w:keepNext w:val="0"/>
              <w:keepLines w:val="0"/>
              <w:pageBreakBefore w:val="0"/>
              <w:suppressLineNumbers w:val="0"/>
              <w:kinsoku/>
              <w:wordWrap/>
              <w:overflowPunct/>
              <w:topLinePunct w:val="0"/>
              <w:autoSpaceDE/>
              <w:bidi w:val="0"/>
              <w:adjustRightInd/>
              <w:snapToGrid/>
              <w:spacing w:before="0" w:beforeAutospacing="0" w:after="0" w:afterAutospacing="0" w:line="360" w:lineRule="exact"/>
              <w:ind w:left="0" w:leftChars="0" w:right="0" w:rightChars="0"/>
              <w:jc w:val="center"/>
              <w:rPr>
                <w:rFonts w:hint="default" w:ascii="仿宋_GB2312" w:hAnsi="宋体" w:eastAsia="仿宋_GB2312" w:cs="宋体"/>
                <w:b/>
                <w:bCs/>
                <w:snapToGrid w:val="0"/>
                <w:color w:val="000000"/>
                <w:kern w:val="0"/>
                <w:sz w:val="28"/>
                <w:szCs w:val="28"/>
              </w:rPr>
            </w:pPr>
            <w:r>
              <w:rPr>
                <w:rFonts w:hint="eastAsia" w:ascii="仿宋_GB2312" w:hAnsi="宋体" w:eastAsia="仿宋_GB2312" w:cs="宋体"/>
                <w:b/>
                <w:bCs/>
                <w:snapToGrid w:val="0"/>
                <w:color w:val="000000"/>
                <w:kern w:val="0"/>
                <w:sz w:val="28"/>
                <w:szCs w:val="28"/>
              </w:rPr>
              <w:t>不含税上限单价（元）</w:t>
            </w:r>
          </w:p>
        </w:tc>
        <w:tc>
          <w:tcPr>
            <w:tcW w:w="1530" w:type="dxa"/>
            <w:vAlign w:val="center"/>
          </w:tcPr>
          <w:p>
            <w:pPr>
              <w:keepNext w:val="0"/>
              <w:keepLines w:val="0"/>
              <w:pageBreakBefore w:val="0"/>
              <w:suppressLineNumbers w:val="0"/>
              <w:kinsoku/>
              <w:wordWrap/>
              <w:overflowPunct/>
              <w:topLinePunct w:val="0"/>
              <w:autoSpaceDE/>
              <w:bidi w:val="0"/>
              <w:adjustRightInd/>
              <w:snapToGrid/>
              <w:spacing w:before="0" w:beforeAutospacing="0" w:after="0" w:afterAutospacing="0" w:line="360" w:lineRule="exact"/>
              <w:ind w:left="0" w:right="0"/>
              <w:jc w:val="center"/>
              <w:rPr>
                <w:rFonts w:hint="eastAsia" w:ascii="仿宋_GB2312" w:hAnsi="宋体" w:eastAsia="仿宋_GB2312" w:cs="宋体"/>
                <w:b/>
                <w:bCs/>
                <w:snapToGrid w:val="0"/>
                <w:color w:val="000000"/>
                <w:kern w:val="0"/>
                <w:sz w:val="28"/>
                <w:szCs w:val="28"/>
                <w:lang w:eastAsia="zh-CN"/>
              </w:rPr>
            </w:pPr>
            <w:r>
              <w:rPr>
                <w:rFonts w:hint="eastAsia" w:ascii="仿宋_GB2312" w:hAnsi="宋体" w:eastAsia="仿宋_GB2312" w:cs="宋体"/>
                <w:b/>
                <w:bCs/>
                <w:snapToGrid w:val="0"/>
                <w:color w:val="000000"/>
                <w:kern w:val="0"/>
                <w:sz w:val="28"/>
                <w:szCs w:val="28"/>
              </w:rPr>
              <w:t>折</w:t>
            </w:r>
            <w:r>
              <w:rPr>
                <w:rFonts w:hint="eastAsia" w:ascii="仿宋_GB2312" w:hAnsi="宋体" w:eastAsia="仿宋_GB2312" w:cs="宋体"/>
                <w:b/>
                <w:bCs/>
                <w:snapToGrid w:val="0"/>
                <w:color w:val="000000"/>
                <w:kern w:val="0"/>
                <w:sz w:val="28"/>
                <w:szCs w:val="28"/>
                <w:lang w:eastAsia="zh-CN"/>
              </w:rPr>
              <w:t>率</w:t>
            </w:r>
          </w:p>
          <w:p>
            <w:pPr>
              <w:keepNext w:val="0"/>
              <w:keepLines w:val="0"/>
              <w:pageBreakBefore w:val="0"/>
              <w:suppressLineNumbers w:val="0"/>
              <w:kinsoku/>
              <w:wordWrap/>
              <w:overflowPunct/>
              <w:topLinePunct w:val="0"/>
              <w:autoSpaceDE/>
              <w:bidi w:val="0"/>
              <w:adjustRightInd/>
              <w:snapToGrid/>
              <w:spacing w:before="0" w:beforeAutospacing="0" w:after="0" w:afterAutospacing="0" w:line="360" w:lineRule="exact"/>
              <w:ind w:left="0" w:leftChars="0" w:right="0" w:rightChars="0"/>
              <w:jc w:val="center"/>
              <w:rPr>
                <w:rFonts w:hint="default" w:ascii="仿宋_GB2312" w:eastAsia="仿宋_GB2312" w:cs="宋体"/>
                <w:b/>
                <w:bCs/>
                <w:snapToGrid w:val="0"/>
                <w:color w:val="000000"/>
                <w:kern w:val="0"/>
                <w:sz w:val="28"/>
                <w:szCs w:val="28"/>
              </w:rPr>
            </w:pPr>
            <w:r>
              <w:rPr>
                <w:rFonts w:hint="eastAsia" w:ascii="仿宋_GB2312" w:hAnsi="宋体" w:eastAsia="仿宋_GB2312" w:cs="宋体"/>
                <w:b/>
                <w:bCs/>
                <w:snapToGrid w:val="0"/>
                <w:color w:val="000000"/>
                <w:kern w:val="0"/>
                <w:sz w:val="28"/>
                <w:szCs w:val="28"/>
              </w:rPr>
              <w:t>（下浮至）</w:t>
            </w:r>
          </w:p>
        </w:tc>
        <w:tc>
          <w:tcPr>
            <w:tcW w:w="1725" w:type="dxa"/>
            <w:vAlign w:val="center"/>
          </w:tcPr>
          <w:p>
            <w:pPr>
              <w:keepNext w:val="0"/>
              <w:keepLines w:val="0"/>
              <w:pageBreakBefore w:val="0"/>
              <w:suppressLineNumbers w:val="0"/>
              <w:kinsoku/>
              <w:wordWrap/>
              <w:overflowPunct/>
              <w:topLinePunct w:val="0"/>
              <w:autoSpaceDE/>
              <w:bidi w:val="0"/>
              <w:adjustRightInd/>
              <w:snapToGrid/>
              <w:spacing w:before="0" w:beforeAutospacing="0" w:after="0" w:afterAutospacing="0" w:line="360" w:lineRule="exact"/>
              <w:ind w:left="0" w:leftChars="0" w:right="0" w:rightChars="0"/>
              <w:jc w:val="center"/>
              <w:rPr>
                <w:rFonts w:hint="eastAsia" w:ascii="仿宋_GB2312" w:hAnsi="宋体" w:eastAsia="仿宋_GB2312" w:cs="宋体"/>
                <w:b/>
                <w:bCs/>
                <w:snapToGrid w:val="0"/>
                <w:color w:val="000000"/>
                <w:kern w:val="0"/>
                <w:sz w:val="28"/>
                <w:szCs w:val="28"/>
              </w:rPr>
            </w:pPr>
            <w:r>
              <w:rPr>
                <w:rFonts w:hint="eastAsia" w:ascii="仿宋_GB2312" w:hAnsi="宋体" w:eastAsia="仿宋_GB2312" w:cs="宋体"/>
                <w:b/>
                <w:bCs/>
                <w:snapToGrid w:val="0"/>
                <w:color w:val="000000"/>
                <w:kern w:val="0"/>
                <w:sz w:val="28"/>
                <w:szCs w:val="28"/>
              </w:rPr>
              <w:t>不含税</w:t>
            </w:r>
            <w:r>
              <w:rPr>
                <w:rFonts w:hint="eastAsia" w:ascii="仿宋_GB2312" w:hAnsi="宋体" w:eastAsia="仿宋_GB2312" w:cs="宋体"/>
                <w:b/>
                <w:bCs/>
                <w:snapToGrid w:val="0"/>
                <w:color w:val="000000"/>
                <w:kern w:val="0"/>
                <w:sz w:val="28"/>
                <w:szCs w:val="28"/>
                <w:lang w:eastAsia="zh-CN"/>
              </w:rPr>
              <w:t>单价</w:t>
            </w:r>
            <w:r>
              <w:rPr>
                <w:rFonts w:hint="eastAsia" w:ascii="仿宋_GB2312" w:hAnsi="宋体" w:eastAsia="仿宋_GB2312" w:cs="宋体"/>
                <w:b/>
                <w:bCs/>
                <w:snapToGrid w:val="0"/>
                <w:color w:val="000000"/>
                <w:kern w:val="0"/>
                <w:sz w:val="28"/>
                <w:szCs w:val="28"/>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697" w:type="dxa"/>
            <w:shd w:val="clear" w:color="auto" w:fill="auto"/>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eastAsia="仿宋_GB2312" w:cs="宋体"/>
                <w:sz w:val="28"/>
                <w:szCs w:val="28"/>
              </w:rPr>
            </w:pPr>
            <w:r>
              <w:rPr>
                <w:rFonts w:hint="eastAsia" w:ascii="仿宋_GB2312" w:hAnsi="仿宋_GB2312" w:eastAsia="仿宋_GB2312" w:cs="仿宋_GB2312"/>
                <w:b w:val="0"/>
                <w:bCs/>
                <w:sz w:val="28"/>
                <w:szCs w:val="28"/>
                <w:lang w:val="en-US" w:eastAsia="zh-CN"/>
              </w:rPr>
              <w:t>1</w:t>
            </w:r>
          </w:p>
        </w:tc>
        <w:tc>
          <w:tcPr>
            <w:tcW w:w="1815" w:type="dxa"/>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3003-</w:t>
            </w:r>
            <w:r>
              <w:rPr>
                <w:rFonts w:hint="eastAsia" w:ascii="仿宋_GB2312" w:hAnsi="仿宋_GB2312" w:eastAsia="仿宋_GB2312" w:cs="仿宋_GB2312"/>
                <w:sz w:val="28"/>
                <w:szCs w:val="28"/>
              </w:rPr>
              <w:t>H24</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 w:hAnsi="仿宋" w:eastAsia="仿宋" w:cs="仿宋"/>
                <w:sz w:val="28"/>
                <w:szCs w:val="28"/>
              </w:rPr>
            </w:pPr>
            <w:r>
              <w:rPr>
                <w:rFonts w:hint="eastAsia" w:ascii="仿宋_GB2312" w:hAnsi="仿宋_GB2312" w:eastAsia="仿宋_GB2312" w:cs="仿宋_GB2312"/>
                <w:sz w:val="28"/>
                <w:szCs w:val="28"/>
              </w:rPr>
              <w:t>铝板</w:t>
            </w:r>
            <w:r>
              <w:rPr>
                <w:rFonts w:hint="eastAsia" w:ascii="仿宋_GB2312" w:hAnsi="仿宋_GB2312" w:eastAsia="仿宋_GB2312" w:cs="仿宋_GB2312"/>
                <w:b w:val="0"/>
                <w:bCs/>
                <w:sz w:val="28"/>
                <w:szCs w:val="28"/>
                <w:lang w:val="en-US" w:eastAsia="zh-CN"/>
              </w:rPr>
              <w:t>（国标）</w:t>
            </w:r>
          </w:p>
        </w:tc>
        <w:tc>
          <w:tcPr>
            <w:tcW w:w="24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长 2500mm× 宽 1600mm× 厚 2.35mm</w:t>
            </w:r>
          </w:p>
        </w:tc>
        <w:tc>
          <w:tcPr>
            <w:tcW w:w="825" w:type="dxa"/>
            <w:shd w:val="clear" w:color="auto" w:fill="FFFFFF"/>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iCs w:val="0"/>
                <w:color w:val="000000"/>
                <w:kern w:val="0"/>
                <w:sz w:val="28"/>
                <w:szCs w:val="28"/>
                <w:u w:val="none"/>
                <w:lang w:val="en-US" w:eastAsia="zh-CN" w:bidi="ar"/>
              </w:rPr>
              <w:t>块</w:t>
            </w:r>
          </w:p>
        </w:tc>
        <w:tc>
          <w:tcPr>
            <w:tcW w:w="12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_GB2312" w:eastAsia="仿宋_GB2312"/>
                <w:color w:val="000000"/>
                <w:sz w:val="28"/>
                <w:szCs w:val="28"/>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 xml:space="preserve">733.28 </w:t>
            </w:r>
          </w:p>
        </w:tc>
        <w:tc>
          <w:tcPr>
            <w:tcW w:w="1530" w:type="dxa"/>
            <w:vMerge w:val="restart"/>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jc w:val="center"/>
              <w:rPr>
                <w:rFonts w:hint="default" w:ascii="仿宋_GB2312" w:eastAsia="仿宋_GB2312" w:cs="宋体"/>
                <w:color w:val="000000"/>
                <w:sz w:val="24"/>
                <w:szCs w:val="24"/>
              </w:rPr>
            </w:pPr>
            <w:r>
              <w:rPr>
                <w:rFonts w:hint="eastAsia" w:ascii="仿宋_GB2312" w:eastAsia="仿宋_GB2312"/>
                <w:color w:val="000000"/>
                <w:sz w:val="28"/>
                <w:szCs w:val="28"/>
                <w:u w:val="single"/>
                <w:lang w:val="en-US" w:eastAsia="zh-CN"/>
              </w:rPr>
              <w:t xml:space="preserve">     %</w:t>
            </w:r>
          </w:p>
        </w:tc>
        <w:tc>
          <w:tcPr>
            <w:tcW w:w="172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jc w:val="center"/>
              <w:rPr>
                <w:rFonts w:hint="default" w:ascii="仿宋_GB2312"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697" w:type="dxa"/>
            <w:shd w:val="clear" w:color="auto" w:fill="auto"/>
            <w:vAlign w:val="center"/>
          </w:tcPr>
          <w:p>
            <w:pPr>
              <w:keepNext w:val="0"/>
              <w:keepLines w:val="0"/>
              <w:pageBreakBefore w:val="0"/>
              <w:suppressLineNumbers w:val="0"/>
              <w:tabs>
                <w:tab w:val="left" w:pos="6195"/>
              </w:tabs>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b w:val="0"/>
                <w:bCs/>
                <w:sz w:val="28"/>
                <w:szCs w:val="28"/>
                <w:lang w:val="en-US" w:eastAsia="zh-CN"/>
              </w:rPr>
              <w:t>2</w:t>
            </w:r>
          </w:p>
        </w:tc>
        <w:tc>
          <w:tcPr>
            <w:tcW w:w="1815"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6063-T5</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val="0"/>
                <w:bCs/>
                <w:sz w:val="28"/>
                <w:szCs w:val="28"/>
                <w:lang w:val="en-US" w:eastAsia="zh-CN"/>
              </w:rPr>
              <w:t>铝槽（国标）</w:t>
            </w:r>
          </w:p>
        </w:tc>
        <w:tc>
          <w:tcPr>
            <w:tcW w:w="24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sz w:val="28"/>
                <w:szCs w:val="28"/>
              </w:rPr>
              <w:t>65#，长 6000mm，壁厚 2.5mm</w:t>
            </w:r>
          </w:p>
        </w:tc>
        <w:tc>
          <w:tcPr>
            <w:tcW w:w="825" w:type="dxa"/>
            <w:shd w:val="clear" w:color="auto" w:fill="FFFFFF"/>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color w:val="000000"/>
                <w:sz w:val="28"/>
                <w:szCs w:val="28"/>
                <w:lang w:eastAsia="zh-CN"/>
              </w:rPr>
              <w:t>条</w:t>
            </w:r>
          </w:p>
        </w:tc>
        <w:tc>
          <w:tcPr>
            <w:tcW w:w="1245" w:type="dxa"/>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154.87 </w:t>
            </w:r>
          </w:p>
        </w:tc>
        <w:tc>
          <w:tcPr>
            <w:tcW w:w="1530" w:type="dxa"/>
            <w:vMerge w:val="continue"/>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jc w:val="center"/>
              <w:rPr>
                <w:rFonts w:hint="default" w:ascii="仿宋_GB2312" w:eastAsia="仿宋_GB2312" w:cs="宋体"/>
                <w:color w:val="000000"/>
                <w:sz w:val="24"/>
                <w:szCs w:val="24"/>
              </w:rPr>
            </w:pPr>
          </w:p>
        </w:tc>
        <w:tc>
          <w:tcPr>
            <w:tcW w:w="172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jc w:val="center"/>
              <w:rPr>
                <w:rFonts w:hint="default" w:ascii="仿宋_GB2312"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exact"/>
          <w:jc w:val="center"/>
        </w:trPr>
        <w:tc>
          <w:tcPr>
            <w:tcW w:w="697" w:type="dxa"/>
            <w:vAlign w:val="center"/>
          </w:tcPr>
          <w:p>
            <w:pPr>
              <w:keepNext w:val="0"/>
              <w:keepLines w:val="0"/>
              <w:suppressLineNumbers w:val="0"/>
              <w:spacing w:before="0" w:beforeAutospacing="0" w:after="0" w:afterAutospacing="0" w:line="240" w:lineRule="auto"/>
              <w:ind w:left="0" w:right="0"/>
              <w:jc w:val="center"/>
              <w:rPr>
                <w:rFonts w:hint="default" w:ascii="仿宋_GB2312" w:eastAsia="仿宋_GB2312" w:cs="宋体"/>
                <w:sz w:val="28"/>
                <w:szCs w:val="28"/>
              </w:rPr>
            </w:pPr>
            <w:r>
              <w:rPr>
                <w:rFonts w:hint="eastAsia" w:ascii="仿宋_GB2312" w:hAnsi="宋体" w:eastAsia="仿宋_GB2312" w:cs="宋体"/>
                <w:sz w:val="28"/>
                <w:szCs w:val="28"/>
              </w:rPr>
              <w:t>备注</w:t>
            </w:r>
          </w:p>
        </w:tc>
        <w:tc>
          <w:tcPr>
            <w:tcW w:w="9585" w:type="dxa"/>
            <w:gridSpan w:val="6"/>
            <w:vAlign w:val="center"/>
          </w:tcPr>
          <w:p>
            <w:pPr>
              <w:keepNext w:val="0"/>
              <w:keepLines w:val="0"/>
              <w:suppressLineNumbers w:val="0"/>
              <w:spacing w:before="0" w:beforeAutospacing="0" w:after="0" w:afterAutospacing="0" w:line="240" w:lineRule="auto"/>
              <w:ind w:left="0" w:right="0"/>
              <w:rPr>
                <w:rFonts w:hint="default" w:ascii="仿宋_GB2312" w:eastAsia="仿宋_GB2312" w:cs="宋体"/>
                <w:snapToGrid w:val="0"/>
                <w:color w:val="000000"/>
                <w:kern w:val="0"/>
                <w:sz w:val="28"/>
                <w:szCs w:val="28"/>
              </w:rPr>
            </w:pPr>
            <w:r>
              <w:rPr>
                <w:rFonts w:hint="eastAsia" w:ascii="仿宋_GB2312" w:eastAsia="仿宋_GB2312" w:cs="宋体"/>
                <w:snapToGrid w:val="0"/>
                <w:color w:val="000000"/>
                <w:kern w:val="0"/>
                <w:sz w:val="28"/>
                <w:szCs w:val="28"/>
              </w:rPr>
              <w:t>当本表报价与项目报价一览表不一致时，以项目报价一览表修正报价</w:t>
            </w:r>
          </w:p>
        </w:tc>
      </w:tr>
    </w:tbl>
    <w:p>
      <w:pPr>
        <w:pStyle w:val="3"/>
        <w:spacing w:line="600" w:lineRule="auto"/>
        <w:jc w:val="left"/>
        <w:rPr>
          <w:rFonts w:ascii="仿宋_GB2312" w:hAnsi="仿宋_GB2312" w:eastAsia="仿宋_GB2312" w:cs="仿宋_GB2312"/>
          <w:b w:val="0"/>
          <w:color w:val="auto"/>
          <w:kern w:val="0"/>
          <w:sz w:val="28"/>
          <w:szCs w:val="28"/>
        </w:rPr>
      </w:pPr>
      <w:r>
        <w:rPr>
          <w:rFonts w:hint="eastAsia" w:ascii="仿宋_GB2312" w:hAnsi="仿宋_GB2312" w:eastAsia="仿宋_GB2312" w:cs="仿宋_GB2312"/>
          <w:b w:val="0"/>
          <w:color w:val="auto"/>
          <w:kern w:val="0"/>
          <w:sz w:val="28"/>
          <w:szCs w:val="28"/>
        </w:rPr>
        <w:t>报价单位（公章）：</w:t>
      </w:r>
    </w:p>
    <w:p>
      <w:pPr>
        <w:autoSpaceDE w:val="0"/>
        <w:autoSpaceDN w:val="0"/>
        <w:adjustRightInd w:val="0"/>
        <w:spacing w:line="60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联系人：电话：</w:t>
      </w:r>
    </w:p>
    <w:p>
      <w:pPr>
        <w:keepNext w:val="0"/>
        <w:keepLines w:val="0"/>
        <w:pageBreakBefore w:val="0"/>
        <w:widowControl w:val="0"/>
        <w:kinsoku/>
        <w:wordWrap/>
        <w:overflowPunct/>
        <w:topLinePunct w:val="0"/>
        <w:autoSpaceDE w:val="0"/>
        <w:autoSpaceDN w:val="0"/>
        <w:bidi w:val="0"/>
        <w:adjustRightInd w:val="0"/>
        <w:snapToGrid w:val="0"/>
        <w:spacing w:line="600" w:lineRule="auto"/>
        <w:ind w:left="0" w:leftChars="0" w:firstLine="0" w:firstLineChars="0"/>
        <w:jc w:val="left"/>
        <w:textAlignment w:val="auto"/>
        <w:rPr>
          <w:rFonts w:hint="eastAsia" w:ascii="仿宋_GB2312" w:hAnsi="仿宋_GB2312" w:eastAsia="仿宋_GB2312" w:cs="仿宋_GB2312"/>
          <w:kern w:val="0"/>
          <w:sz w:val="11"/>
          <w:szCs w:val="11"/>
        </w:rPr>
      </w:pPr>
    </w:p>
    <w:p>
      <w:pPr>
        <w:keepNext w:val="0"/>
        <w:keepLines w:val="0"/>
        <w:pageBreakBefore w:val="0"/>
        <w:widowControl w:val="0"/>
        <w:kinsoku/>
        <w:wordWrap/>
        <w:overflowPunct/>
        <w:topLinePunct w:val="0"/>
        <w:autoSpaceDE w:val="0"/>
        <w:autoSpaceDN w:val="0"/>
        <w:bidi w:val="0"/>
        <w:adjustRightInd w:val="0"/>
        <w:snapToGrid w:val="0"/>
        <w:spacing w:line="600" w:lineRule="auto"/>
        <w:ind w:left="0" w:leftChars="0" w:firstLine="0" w:firstLineChars="0"/>
        <w:jc w:val="left"/>
        <w:textAlignment w:val="auto"/>
        <w:rPr>
          <w:rFonts w:hint="eastAsia" w:ascii="仿宋_GB2312" w:hAnsi="宋体" w:eastAsia="仿宋_GB2312"/>
          <w:sz w:val="28"/>
          <w:szCs w:val="28"/>
        </w:rPr>
      </w:pPr>
      <w:r>
        <w:rPr>
          <w:rFonts w:hint="eastAsia" w:ascii="仿宋_GB2312" w:hAnsi="仿宋_GB2312" w:eastAsia="仿宋_GB2312" w:cs="仿宋_GB2312"/>
          <w:kern w:val="0"/>
          <w:sz w:val="28"/>
          <w:szCs w:val="28"/>
        </w:rPr>
        <w:t>日期：年月日</w:t>
      </w:r>
    </w:p>
    <w:p>
      <w:pPr>
        <w:keepNext w:val="0"/>
        <w:keepLines w:val="0"/>
        <w:pageBreakBefore/>
        <w:widowControl w:val="0"/>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b/>
          <w:kern w:val="0"/>
          <w:sz w:val="28"/>
          <w:szCs w:val="28"/>
        </w:rPr>
        <w:t>附件</w:t>
      </w:r>
      <w:r>
        <w:rPr>
          <w:rFonts w:hint="eastAsia" w:ascii="仿宋_GB2312" w:hAnsi="仿宋_GB2312" w:eastAsia="仿宋_GB2312" w:cs="仿宋_GB2312"/>
          <w:b/>
          <w:kern w:val="0"/>
          <w:sz w:val="28"/>
          <w:szCs w:val="28"/>
          <w:lang w:val="en-US" w:eastAsia="zh-CN"/>
        </w:rPr>
        <w:t>5</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center"/>
        <w:textAlignment w:val="auto"/>
        <w:rPr>
          <w:rFonts w:hint="default"/>
          <w:b/>
          <w:bCs/>
          <w:lang w:val="en-US" w:eastAsia="zh-CN"/>
        </w:rPr>
      </w:pPr>
      <w:r>
        <w:rPr>
          <w:rFonts w:hint="eastAsia" w:ascii="仿宋_GB2312" w:hAnsi="仿宋_GB2312" w:eastAsia="仿宋_GB2312" w:cs="仿宋_GB2312"/>
          <w:b/>
          <w:bCs/>
          <w:color w:val="auto"/>
          <w:kern w:val="0"/>
          <w:sz w:val="28"/>
          <w:szCs w:val="28"/>
        </w:rPr>
        <w:t>其他相关文件（若有）</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left"/>
        <w:textAlignment w:val="auto"/>
        <w:rPr>
          <w:rFonts w:hint="default"/>
          <w:lang w:val="en-US" w:eastAsia="zh-CN"/>
        </w:rPr>
      </w:pPr>
    </w:p>
    <w:sectPr>
      <w:headerReference r:id="rId3" w:type="default"/>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F28A86"/>
    <w:multiLevelType w:val="singleLevel"/>
    <w:tmpl w:val="66F28A8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5M2MxZjEzOWNiMWNmYzU1ZGM4ZmJlNGQ5MzYwNjAifQ=="/>
  </w:docVars>
  <w:rsids>
    <w:rsidRoot w:val="00172A27"/>
    <w:rsid w:val="00005FBC"/>
    <w:rsid w:val="00022859"/>
    <w:rsid w:val="0003614D"/>
    <w:rsid w:val="00037335"/>
    <w:rsid w:val="00046C0C"/>
    <w:rsid w:val="00050FC5"/>
    <w:rsid w:val="00060293"/>
    <w:rsid w:val="0008440F"/>
    <w:rsid w:val="000A256A"/>
    <w:rsid w:val="000A3FFC"/>
    <w:rsid w:val="000B582C"/>
    <w:rsid w:val="000B7FFB"/>
    <w:rsid w:val="000E48D2"/>
    <w:rsid w:val="001139BB"/>
    <w:rsid w:val="00120FF8"/>
    <w:rsid w:val="00133235"/>
    <w:rsid w:val="0013356C"/>
    <w:rsid w:val="00137E2E"/>
    <w:rsid w:val="00141B47"/>
    <w:rsid w:val="00152F8C"/>
    <w:rsid w:val="00172A27"/>
    <w:rsid w:val="00173538"/>
    <w:rsid w:val="001754CC"/>
    <w:rsid w:val="0018341A"/>
    <w:rsid w:val="00186275"/>
    <w:rsid w:val="001B60DF"/>
    <w:rsid w:val="001C4918"/>
    <w:rsid w:val="001C6F4C"/>
    <w:rsid w:val="001E5275"/>
    <w:rsid w:val="001F2591"/>
    <w:rsid w:val="00201346"/>
    <w:rsid w:val="00215001"/>
    <w:rsid w:val="00232B1A"/>
    <w:rsid w:val="00250AB0"/>
    <w:rsid w:val="00253FEA"/>
    <w:rsid w:val="00262DC2"/>
    <w:rsid w:val="0028268A"/>
    <w:rsid w:val="0029091E"/>
    <w:rsid w:val="002930CC"/>
    <w:rsid w:val="002935AD"/>
    <w:rsid w:val="0029650A"/>
    <w:rsid w:val="002B60B2"/>
    <w:rsid w:val="002C61AB"/>
    <w:rsid w:val="002D135F"/>
    <w:rsid w:val="002D7A36"/>
    <w:rsid w:val="002D7DA7"/>
    <w:rsid w:val="002E0D9E"/>
    <w:rsid w:val="002F4889"/>
    <w:rsid w:val="0030297A"/>
    <w:rsid w:val="00317788"/>
    <w:rsid w:val="00334135"/>
    <w:rsid w:val="00334233"/>
    <w:rsid w:val="003353A6"/>
    <w:rsid w:val="00342CFB"/>
    <w:rsid w:val="003459A6"/>
    <w:rsid w:val="00367B12"/>
    <w:rsid w:val="003848DB"/>
    <w:rsid w:val="003879FB"/>
    <w:rsid w:val="003973D2"/>
    <w:rsid w:val="003B2680"/>
    <w:rsid w:val="003C1DDB"/>
    <w:rsid w:val="003C594E"/>
    <w:rsid w:val="003C77F0"/>
    <w:rsid w:val="003E644B"/>
    <w:rsid w:val="003F5573"/>
    <w:rsid w:val="003F6C65"/>
    <w:rsid w:val="00400045"/>
    <w:rsid w:val="00400F06"/>
    <w:rsid w:val="00407EFA"/>
    <w:rsid w:val="00420276"/>
    <w:rsid w:val="00426B5E"/>
    <w:rsid w:val="0043409F"/>
    <w:rsid w:val="00450593"/>
    <w:rsid w:val="004546FE"/>
    <w:rsid w:val="00456E30"/>
    <w:rsid w:val="00460821"/>
    <w:rsid w:val="00484F83"/>
    <w:rsid w:val="00487BFF"/>
    <w:rsid w:val="004A1EBE"/>
    <w:rsid w:val="004A51B4"/>
    <w:rsid w:val="004A74EB"/>
    <w:rsid w:val="004C07DF"/>
    <w:rsid w:val="004D22FE"/>
    <w:rsid w:val="004D4168"/>
    <w:rsid w:val="004D777D"/>
    <w:rsid w:val="00504DC3"/>
    <w:rsid w:val="00506682"/>
    <w:rsid w:val="0051503F"/>
    <w:rsid w:val="0052455C"/>
    <w:rsid w:val="00537E33"/>
    <w:rsid w:val="00543C4E"/>
    <w:rsid w:val="0055166F"/>
    <w:rsid w:val="0056769B"/>
    <w:rsid w:val="005715F9"/>
    <w:rsid w:val="00577DDF"/>
    <w:rsid w:val="00590C11"/>
    <w:rsid w:val="00594A4A"/>
    <w:rsid w:val="005A2264"/>
    <w:rsid w:val="005A6051"/>
    <w:rsid w:val="005B2441"/>
    <w:rsid w:val="005B2875"/>
    <w:rsid w:val="005C2A99"/>
    <w:rsid w:val="005E2D4D"/>
    <w:rsid w:val="005E3FAC"/>
    <w:rsid w:val="005E44E7"/>
    <w:rsid w:val="005E4CF6"/>
    <w:rsid w:val="005F39C7"/>
    <w:rsid w:val="005F56FE"/>
    <w:rsid w:val="005F5DB4"/>
    <w:rsid w:val="00601728"/>
    <w:rsid w:val="00601E4E"/>
    <w:rsid w:val="00602503"/>
    <w:rsid w:val="00603078"/>
    <w:rsid w:val="00620AA9"/>
    <w:rsid w:val="0063039D"/>
    <w:rsid w:val="00634A09"/>
    <w:rsid w:val="00634EAF"/>
    <w:rsid w:val="00636123"/>
    <w:rsid w:val="006622FA"/>
    <w:rsid w:val="0066570E"/>
    <w:rsid w:val="00670E4A"/>
    <w:rsid w:val="0068474B"/>
    <w:rsid w:val="00691D83"/>
    <w:rsid w:val="006A59D5"/>
    <w:rsid w:val="006A6678"/>
    <w:rsid w:val="006B53CD"/>
    <w:rsid w:val="006C5F71"/>
    <w:rsid w:val="006C7616"/>
    <w:rsid w:val="006D18CE"/>
    <w:rsid w:val="006E0108"/>
    <w:rsid w:val="006E0142"/>
    <w:rsid w:val="006E5907"/>
    <w:rsid w:val="006E590C"/>
    <w:rsid w:val="006F4891"/>
    <w:rsid w:val="00714C1E"/>
    <w:rsid w:val="00716916"/>
    <w:rsid w:val="007317BE"/>
    <w:rsid w:val="0073441D"/>
    <w:rsid w:val="0075694B"/>
    <w:rsid w:val="00762BAA"/>
    <w:rsid w:val="007637C7"/>
    <w:rsid w:val="00773D99"/>
    <w:rsid w:val="00787D57"/>
    <w:rsid w:val="00790FEA"/>
    <w:rsid w:val="0079181B"/>
    <w:rsid w:val="007A1423"/>
    <w:rsid w:val="007A329A"/>
    <w:rsid w:val="007B6140"/>
    <w:rsid w:val="007C35CF"/>
    <w:rsid w:val="007C7005"/>
    <w:rsid w:val="007C74E0"/>
    <w:rsid w:val="007D0597"/>
    <w:rsid w:val="007D1BE8"/>
    <w:rsid w:val="007E0D5D"/>
    <w:rsid w:val="007E375E"/>
    <w:rsid w:val="007E55C8"/>
    <w:rsid w:val="007F166E"/>
    <w:rsid w:val="007F52B3"/>
    <w:rsid w:val="007F7BDD"/>
    <w:rsid w:val="00804A1A"/>
    <w:rsid w:val="00831173"/>
    <w:rsid w:val="0083440C"/>
    <w:rsid w:val="008352C5"/>
    <w:rsid w:val="00850BC6"/>
    <w:rsid w:val="00852645"/>
    <w:rsid w:val="00860A04"/>
    <w:rsid w:val="0086362B"/>
    <w:rsid w:val="00865F63"/>
    <w:rsid w:val="00875514"/>
    <w:rsid w:val="00882DEF"/>
    <w:rsid w:val="008A512B"/>
    <w:rsid w:val="008B3734"/>
    <w:rsid w:val="008B4346"/>
    <w:rsid w:val="008B644B"/>
    <w:rsid w:val="008C08A7"/>
    <w:rsid w:val="008C1353"/>
    <w:rsid w:val="008C2D87"/>
    <w:rsid w:val="008D3570"/>
    <w:rsid w:val="008D4142"/>
    <w:rsid w:val="008E2C35"/>
    <w:rsid w:val="008E2E63"/>
    <w:rsid w:val="00907B77"/>
    <w:rsid w:val="00913E9D"/>
    <w:rsid w:val="0091448B"/>
    <w:rsid w:val="00915134"/>
    <w:rsid w:val="009167DB"/>
    <w:rsid w:val="009179D2"/>
    <w:rsid w:val="00920C4A"/>
    <w:rsid w:val="00925823"/>
    <w:rsid w:val="0092772A"/>
    <w:rsid w:val="00934CBD"/>
    <w:rsid w:val="00936022"/>
    <w:rsid w:val="00945F96"/>
    <w:rsid w:val="00951014"/>
    <w:rsid w:val="00953C96"/>
    <w:rsid w:val="00955B78"/>
    <w:rsid w:val="00970C88"/>
    <w:rsid w:val="009828C5"/>
    <w:rsid w:val="00994D41"/>
    <w:rsid w:val="009A08B5"/>
    <w:rsid w:val="009A2C8A"/>
    <w:rsid w:val="009A505D"/>
    <w:rsid w:val="009D24AC"/>
    <w:rsid w:val="009D751F"/>
    <w:rsid w:val="009E1379"/>
    <w:rsid w:val="009E5344"/>
    <w:rsid w:val="009F3C35"/>
    <w:rsid w:val="00A25794"/>
    <w:rsid w:val="00A34873"/>
    <w:rsid w:val="00A35F80"/>
    <w:rsid w:val="00A44E9F"/>
    <w:rsid w:val="00A536A2"/>
    <w:rsid w:val="00A62607"/>
    <w:rsid w:val="00A70793"/>
    <w:rsid w:val="00A807EB"/>
    <w:rsid w:val="00A8250B"/>
    <w:rsid w:val="00A86C28"/>
    <w:rsid w:val="00AA10DD"/>
    <w:rsid w:val="00AA11BA"/>
    <w:rsid w:val="00AA4DF8"/>
    <w:rsid w:val="00AA5E94"/>
    <w:rsid w:val="00AC1446"/>
    <w:rsid w:val="00AC25BD"/>
    <w:rsid w:val="00AF46B4"/>
    <w:rsid w:val="00B16977"/>
    <w:rsid w:val="00B23FFC"/>
    <w:rsid w:val="00B6381C"/>
    <w:rsid w:val="00B66433"/>
    <w:rsid w:val="00B73EED"/>
    <w:rsid w:val="00B82CE7"/>
    <w:rsid w:val="00B82D7B"/>
    <w:rsid w:val="00B8314D"/>
    <w:rsid w:val="00B86460"/>
    <w:rsid w:val="00BB2B8B"/>
    <w:rsid w:val="00BB4C79"/>
    <w:rsid w:val="00BD5943"/>
    <w:rsid w:val="00BE2481"/>
    <w:rsid w:val="00BE4ED2"/>
    <w:rsid w:val="00BF3401"/>
    <w:rsid w:val="00BF35F7"/>
    <w:rsid w:val="00BF5828"/>
    <w:rsid w:val="00C211BD"/>
    <w:rsid w:val="00C3302D"/>
    <w:rsid w:val="00C35048"/>
    <w:rsid w:val="00C46B1B"/>
    <w:rsid w:val="00C8014C"/>
    <w:rsid w:val="00C83E43"/>
    <w:rsid w:val="00C857DB"/>
    <w:rsid w:val="00C9459B"/>
    <w:rsid w:val="00CA5727"/>
    <w:rsid w:val="00CA6EE9"/>
    <w:rsid w:val="00CB2CC3"/>
    <w:rsid w:val="00CC075B"/>
    <w:rsid w:val="00CC5D2D"/>
    <w:rsid w:val="00CD4E0B"/>
    <w:rsid w:val="00CD4F55"/>
    <w:rsid w:val="00CD73BB"/>
    <w:rsid w:val="00CD745B"/>
    <w:rsid w:val="00CE0DC4"/>
    <w:rsid w:val="00CF32A5"/>
    <w:rsid w:val="00D152F1"/>
    <w:rsid w:val="00D313B8"/>
    <w:rsid w:val="00D651E9"/>
    <w:rsid w:val="00D6778C"/>
    <w:rsid w:val="00D7580C"/>
    <w:rsid w:val="00D758D9"/>
    <w:rsid w:val="00D83336"/>
    <w:rsid w:val="00D8425A"/>
    <w:rsid w:val="00D94BB9"/>
    <w:rsid w:val="00DA2BA0"/>
    <w:rsid w:val="00DC1A56"/>
    <w:rsid w:val="00DC2125"/>
    <w:rsid w:val="00DD33E1"/>
    <w:rsid w:val="00DD6821"/>
    <w:rsid w:val="00DE2C93"/>
    <w:rsid w:val="00DF34EB"/>
    <w:rsid w:val="00DF432F"/>
    <w:rsid w:val="00E05492"/>
    <w:rsid w:val="00E31CBE"/>
    <w:rsid w:val="00E339D3"/>
    <w:rsid w:val="00E33A26"/>
    <w:rsid w:val="00E341BA"/>
    <w:rsid w:val="00E412DB"/>
    <w:rsid w:val="00E43084"/>
    <w:rsid w:val="00E54D8F"/>
    <w:rsid w:val="00E57E87"/>
    <w:rsid w:val="00E67E20"/>
    <w:rsid w:val="00E71C8F"/>
    <w:rsid w:val="00EA7042"/>
    <w:rsid w:val="00EB7BC6"/>
    <w:rsid w:val="00ED0B7C"/>
    <w:rsid w:val="00EE6D52"/>
    <w:rsid w:val="00EF25FA"/>
    <w:rsid w:val="00F05A3F"/>
    <w:rsid w:val="00F1083C"/>
    <w:rsid w:val="00F404FA"/>
    <w:rsid w:val="00F42A98"/>
    <w:rsid w:val="00F44F3D"/>
    <w:rsid w:val="00F560B0"/>
    <w:rsid w:val="00F61076"/>
    <w:rsid w:val="00F72C29"/>
    <w:rsid w:val="00F97527"/>
    <w:rsid w:val="00FA4A6F"/>
    <w:rsid w:val="00FB14A0"/>
    <w:rsid w:val="00FC2216"/>
    <w:rsid w:val="00FD3CB8"/>
    <w:rsid w:val="00FE0A82"/>
    <w:rsid w:val="00FE2369"/>
    <w:rsid w:val="00FF4404"/>
    <w:rsid w:val="00FF4D06"/>
    <w:rsid w:val="00FF50B6"/>
    <w:rsid w:val="01071C55"/>
    <w:rsid w:val="01242E3E"/>
    <w:rsid w:val="01371D01"/>
    <w:rsid w:val="014C5A9E"/>
    <w:rsid w:val="0158626D"/>
    <w:rsid w:val="0190659F"/>
    <w:rsid w:val="01C95C2B"/>
    <w:rsid w:val="01ED7CB1"/>
    <w:rsid w:val="026F1642"/>
    <w:rsid w:val="02BE3DA6"/>
    <w:rsid w:val="02BE4CE5"/>
    <w:rsid w:val="02EE10BD"/>
    <w:rsid w:val="02F144F7"/>
    <w:rsid w:val="03184763"/>
    <w:rsid w:val="03963471"/>
    <w:rsid w:val="03B6357F"/>
    <w:rsid w:val="03CA317F"/>
    <w:rsid w:val="03DD51B4"/>
    <w:rsid w:val="044328F7"/>
    <w:rsid w:val="04BB6500"/>
    <w:rsid w:val="05577126"/>
    <w:rsid w:val="055D26FA"/>
    <w:rsid w:val="056248F8"/>
    <w:rsid w:val="05C900A3"/>
    <w:rsid w:val="061C7A40"/>
    <w:rsid w:val="063B23EC"/>
    <w:rsid w:val="069A3634"/>
    <w:rsid w:val="069C653B"/>
    <w:rsid w:val="06A34C03"/>
    <w:rsid w:val="06A74079"/>
    <w:rsid w:val="077E5BC6"/>
    <w:rsid w:val="08056A1D"/>
    <w:rsid w:val="081954FE"/>
    <w:rsid w:val="08585993"/>
    <w:rsid w:val="086114EA"/>
    <w:rsid w:val="090544A1"/>
    <w:rsid w:val="09141C5B"/>
    <w:rsid w:val="092B5D32"/>
    <w:rsid w:val="09CD0383"/>
    <w:rsid w:val="09D77503"/>
    <w:rsid w:val="0A094F53"/>
    <w:rsid w:val="0A1E5A4F"/>
    <w:rsid w:val="0A2D3BDE"/>
    <w:rsid w:val="0A424F77"/>
    <w:rsid w:val="0A6D7172"/>
    <w:rsid w:val="0A6F47A4"/>
    <w:rsid w:val="0AB104B4"/>
    <w:rsid w:val="0AD20E1F"/>
    <w:rsid w:val="0AD56FD5"/>
    <w:rsid w:val="0B2130A8"/>
    <w:rsid w:val="0B5F176B"/>
    <w:rsid w:val="0B6F7E77"/>
    <w:rsid w:val="0BA62E49"/>
    <w:rsid w:val="0BAD0AA4"/>
    <w:rsid w:val="0BE460E6"/>
    <w:rsid w:val="0BE526B9"/>
    <w:rsid w:val="0BFD243F"/>
    <w:rsid w:val="0BFF0AAA"/>
    <w:rsid w:val="0C623389"/>
    <w:rsid w:val="0C640F26"/>
    <w:rsid w:val="0C722C23"/>
    <w:rsid w:val="0CC60D00"/>
    <w:rsid w:val="0CCA1772"/>
    <w:rsid w:val="0CEC62F5"/>
    <w:rsid w:val="0CF90018"/>
    <w:rsid w:val="0D006588"/>
    <w:rsid w:val="0D033AEE"/>
    <w:rsid w:val="0D633FAB"/>
    <w:rsid w:val="0D7B496D"/>
    <w:rsid w:val="0D95677F"/>
    <w:rsid w:val="0DC26E3B"/>
    <w:rsid w:val="0E074C7D"/>
    <w:rsid w:val="0E2339E6"/>
    <w:rsid w:val="0E9E4CCE"/>
    <w:rsid w:val="0EAF7012"/>
    <w:rsid w:val="0ED55C4B"/>
    <w:rsid w:val="0EEF3AB2"/>
    <w:rsid w:val="0F3E04D3"/>
    <w:rsid w:val="0FD37AAC"/>
    <w:rsid w:val="0FE84E1D"/>
    <w:rsid w:val="0FFF322A"/>
    <w:rsid w:val="100358D3"/>
    <w:rsid w:val="100C1674"/>
    <w:rsid w:val="10192416"/>
    <w:rsid w:val="104107AB"/>
    <w:rsid w:val="104D6B23"/>
    <w:rsid w:val="10556891"/>
    <w:rsid w:val="105E2AE5"/>
    <w:rsid w:val="106C3928"/>
    <w:rsid w:val="10D1051C"/>
    <w:rsid w:val="10D50CBD"/>
    <w:rsid w:val="10D63DCB"/>
    <w:rsid w:val="11236217"/>
    <w:rsid w:val="118C4743"/>
    <w:rsid w:val="11997C87"/>
    <w:rsid w:val="11D841B3"/>
    <w:rsid w:val="11EF7F48"/>
    <w:rsid w:val="123F1E67"/>
    <w:rsid w:val="12B67F9F"/>
    <w:rsid w:val="12CF33EA"/>
    <w:rsid w:val="12D14F1B"/>
    <w:rsid w:val="12D16C5F"/>
    <w:rsid w:val="12DC5DAD"/>
    <w:rsid w:val="12E05348"/>
    <w:rsid w:val="130B2F74"/>
    <w:rsid w:val="13244572"/>
    <w:rsid w:val="136905E9"/>
    <w:rsid w:val="13EC0B94"/>
    <w:rsid w:val="13F74E83"/>
    <w:rsid w:val="140A0E9D"/>
    <w:rsid w:val="14107C58"/>
    <w:rsid w:val="14283B99"/>
    <w:rsid w:val="143C0CA7"/>
    <w:rsid w:val="14413717"/>
    <w:rsid w:val="14585859"/>
    <w:rsid w:val="145E18BB"/>
    <w:rsid w:val="149B269B"/>
    <w:rsid w:val="15281DE9"/>
    <w:rsid w:val="154465F1"/>
    <w:rsid w:val="156B5FA8"/>
    <w:rsid w:val="15AC5E9C"/>
    <w:rsid w:val="15D34D10"/>
    <w:rsid w:val="15D6502A"/>
    <w:rsid w:val="16093978"/>
    <w:rsid w:val="16EE652E"/>
    <w:rsid w:val="16F64352"/>
    <w:rsid w:val="17063D7F"/>
    <w:rsid w:val="17102C8D"/>
    <w:rsid w:val="17130118"/>
    <w:rsid w:val="1713053F"/>
    <w:rsid w:val="17800829"/>
    <w:rsid w:val="1780191E"/>
    <w:rsid w:val="17902B7E"/>
    <w:rsid w:val="17BC7A36"/>
    <w:rsid w:val="17F23AB1"/>
    <w:rsid w:val="17FA2988"/>
    <w:rsid w:val="1830705B"/>
    <w:rsid w:val="184E7B60"/>
    <w:rsid w:val="186E2C3A"/>
    <w:rsid w:val="188669A9"/>
    <w:rsid w:val="18CC76FA"/>
    <w:rsid w:val="18F37D36"/>
    <w:rsid w:val="19061883"/>
    <w:rsid w:val="19260A87"/>
    <w:rsid w:val="19315662"/>
    <w:rsid w:val="196145AA"/>
    <w:rsid w:val="197646B5"/>
    <w:rsid w:val="1978764F"/>
    <w:rsid w:val="199B55AB"/>
    <w:rsid w:val="19D601A6"/>
    <w:rsid w:val="19EE5829"/>
    <w:rsid w:val="19F60EE6"/>
    <w:rsid w:val="1A622773"/>
    <w:rsid w:val="1AC640FA"/>
    <w:rsid w:val="1B606BAE"/>
    <w:rsid w:val="1BA2112C"/>
    <w:rsid w:val="1BFF384D"/>
    <w:rsid w:val="1C10459C"/>
    <w:rsid w:val="1C4442B8"/>
    <w:rsid w:val="1C744D56"/>
    <w:rsid w:val="1CA30B64"/>
    <w:rsid w:val="1CB73735"/>
    <w:rsid w:val="1D0E5A1E"/>
    <w:rsid w:val="1D381D5E"/>
    <w:rsid w:val="1D3C334D"/>
    <w:rsid w:val="1D6E31C6"/>
    <w:rsid w:val="1DA214CD"/>
    <w:rsid w:val="1DB73D07"/>
    <w:rsid w:val="1DE277C5"/>
    <w:rsid w:val="1E01739C"/>
    <w:rsid w:val="1E0412B3"/>
    <w:rsid w:val="1E09752A"/>
    <w:rsid w:val="1E18505E"/>
    <w:rsid w:val="1E3916C9"/>
    <w:rsid w:val="1E6A3549"/>
    <w:rsid w:val="1E6E2F79"/>
    <w:rsid w:val="1E762F59"/>
    <w:rsid w:val="1EA822C6"/>
    <w:rsid w:val="1F2466F9"/>
    <w:rsid w:val="1F5008F0"/>
    <w:rsid w:val="1F5E456E"/>
    <w:rsid w:val="1F5F57C2"/>
    <w:rsid w:val="1F6F2B46"/>
    <w:rsid w:val="1F8260C4"/>
    <w:rsid w:val="1FB8670E"/>
    <w:rsid w:val="1FCF4ADF"/>
    <w:rsid w:val="1FF97337"/>
    <w:rsid w:val="20164DE8"/>
    <w:rsid w:val="20210389"/>
    <w:rsid w:val="20640659"/>
    <w:rsid w:val="207A08E2"/>
    <w:rsid w:val="20D84105"/>
    <w:rsid w:val="21672086"/>
    <w:rsid w:val="217016B6"/>
    <w:rsid w:val="21C40374"/>
    <w:rsid w:val="21CD4A8B"/>
    <w:rsid w:val="21E93FCD"/>
    <w:rsid w:val="220C3E05"/>
    <w:rsid w:val="225318BB"/>
    <w:rsid w:val="22621893"/>
    <w:rsid w:val="22BC2C79"/>
    <w:rsid w:val="22EB1A59"/>
    <w:rsid w:val="231131F4"/>
    <w:rsid w:val="23156A1D"/>
    <w:rsid w:val="234824CB"/>
    <w:rsid w:val="23747E6E"/>
    <w:rsid w:val="23D46034"/>
    <w:rsid w:val="23D831D0"/>
    <w:rsid w:val="24136C47"/>
    <w:rsid w:val="24471723"/>
    <w:rsid w:val="244B50C5"/>
    <w:rsid w:val="24B41BE3"/>
    <w:rsid w:val="24C17AC2"/>
    <w:rsid w:val="24C202A2"/>
    <w:rsid w:val="250575C0"/>
    <w:rsid w:val="251764A6"/>
    <w:rsid w:val="252A6283"/>
    <w:rsid w:val="25453677"/>
    <w:rsid w:val="256A78A1"/>
    <w:rsid w:val="25A94DCB"/>
    <w:rsid w:val="25E633C2"/>
    <w:rsid w:val="25E84525"/>
    <w:rsid w:val="260F1BFD"/>
    <w:rsid w:val="262C29A1"/>
    <w:rsid w:val="263013BA"/>
    <w:rsid w:val="26791CF0"/>
    <w:rsid w:val="26E942D2"/>
    <w:rsid w:val="26F121F0"/>
    <w:rsid w:val="271C6DD7"/>
    <w:rsid w:val="272A5587"/>
    <w:rsid w:val="273C2EE6"/>
    <w:rsid w:val="27810013"/>
    <w:rsid w:val="27813091"/>
    <w:rsid w:val="27837911"/>
    <w:rsid w:val="279B7090"/>
    <w:rsid w:val="27EA4054"/>
    <w:rsid w:val="280A2B60"/>
    <w:rsid w:val="2899273E"/>
    <w:rsid w:val="28E021C9"/>
    <w:rsid w:val="28E31B36"/>
    <w:rsid w:val="296240CE"/>
    <w:rsid w:val="29A03A33"/>
    <w:rsid w:val="29EB16B3"/>
    <w:rsid w:val="2A103412"/>
    <w:rsid w:val="2A1608C5"/>
    <w:rsid w:val="2A1F1B47"/>
    <w:rsid w:val="2A5967E8"/>
    <w:rsid w:val="2A5C7AF5"/>
    <w:rsid w:val="2A647698"/>
    <w:rsid w:val="2A6664F3"/>
    <w:rsid w:val="2A747911"/>
    <w:rsid w:val="2A9D5339"/>
    <w:rsid w:val="2AB25A81"/>
    <w:rsid w:val="2B0C7FDE"/>
    <w:rsid w:val="2B1352EC"/>
    <w:rsid w:val="2B2D13DA"/>
    <w:rsid w:val="2B692A1C"/>
    <w:rsid w:val="2B7A06E7"/>
    <w:rsid w:val="2BA259BF"/>
    <w:rsid w:val="2BF97BEE"/>
    <w:rsid w:val="2BFF4499"/>
    <w:rsid w:val="2C201FF9"/>
    <w:rsid w:val="2C5C0056"/>
    <w:rsid w:val="2C64056D"/>
    <w:rsid w:val="2C690F4D"/>
    <w:rsid w:val="2C6C56DC"/>
    <w:rsid w:val="2CA86547"/>
    <w:rsid w:val="2CAE7074"/>
    <w:rsid w:val="2CE02F44"/>
    <w:rsid w:val="2D0A067B"/>
    <w:rsid w:val="2D2348FE"/>
    <w:rsid w:val="2D263717"/>
    <w:rsid w:val="2D3A3777"/>
    <w:rsid w:val="2D5A1C0C"/>
    <w:rsid w:val="2DC62284"/>
    <w:rsid w:val="2DED0846"/>
    <w:rsid w:val="2E350CD6"/>
    <w:rsid w:val="2E6E6E9A"/>
    <w:rsid w:val="2E761A0A"/>
    <w:rsid w:val="2E7E71EE"/>
    <w:rsid w:val="2EC66D66"/>
    <w:rsid w:val="2EF578F3"/>
    <w:rsid w:val="2F424F98"/>
    <w:rsid w:val="2F8B57B4"/>
    <w:rsid w:val="2FA00499"/>
    <w:rsid w:val="2FDD4D8E"/>
    <w:rsid w:val="30313A16"/>
    <w:rsid w:val="304D6260"/>
    <w:rsid w:val="30533015"/>
    <w:rsid w:val="30833D9B"/>
    <w:rsid w:val="30A81D20"/>
    <w:rsid w:val="31220638"/>
    <w:rsid w:val="314F6FFD"/>
    <w:rsid w:val="315900DA"/>
    <w:rsid w:val="31606F65"/>
    <w:rsid w:val="31B85723"/>
    <w:rsid w:val="32093BA5"/>
    <w:rsid w:val="320E757C"/>
    <w:rsid w:val="32512B4C"/>
    <w:rsid w:val="32C91BAF"/>
    <w:rsid w:val="33223527"/>
    <w:rsid w:val="336350AD"/>
    <w:rsid w:val="33804D22"/>
    <w:rsid w:val="33A227AD"/>
    <w:rsid w:val="33EB726F"/>
    <w:rsid w:val="3421054F"/>
    <w:rsid w:val="344B65A4"/>
    <w:rsid w:val="344F590A"/>
    <w:rsid w:val="349737AA"/>
    <w:rsid w:val="349C73E5"/>
    <w:rsid w:val="34AB26E8"/>
    <w:rsid w:val="34E51931"/>
    <w:rsid w:val="34EA649C"/>
    <w:rsid w:val="34F3159A"/>
    <w:rsid w:val="34F4706D"/>
    <w:rsid w:val="350E620E"/>
    <w:rsid w:val="35216C72"/>
    <w:rsid w:val="352863CE"/>
    <w:rsid w:val="354775AE"/>
    <w:rsid w:val="35860E6B"/>
    <w:rsid w:val="35A27B3D"/>
    <w:rsid w:val="35FC7C92"/>
    <w:rsid w:val="36327A2C"/>
    <w:rsid w:val="3638089D"/>
    <w:rsid w:val="367059A4"/>
    <w:rsid w:val="36A72937"/>
    <w:rsid w:val="37055EDF"/>
    <w:rsid w:val="37113481"/>
    <w:rsid w:val="373A03C5"/>
    <w:rsid w:val="37484FD2"/>
    <w:rsid w:val="376A4183"/>
    <w:rsid w:val="376C4E94"/>
    <w:rsid w:val="379D4D6A"/>
    <w:rsid w:val="37FD7721"/>
    <w:rsid w:val="38215F9B"/>
    <w:rsid w:val="382E6FF4"/>
    <w:rsid w:val="387243E8"/>
    <w:rsid w:val="389D10ED"/>
    <w:rsid w:val="38B3622A"/>
    <w:rsid w:val="39F52735"/>
    <w:rsid w:val="39F80488"/>
    <w:rsid w:val="3A415021"/>
    <w:rsid w:val="3A4D5A38"/>
    <w:rsid w:val="3A8B3695"/>
    <w:rsid w:val="3ABF0213"/>
    <w:rsid w:val="3B0F05E2"/>
    <w:rsid w:val="3B373263"/>
    <w:rsid w:val="3B3F16C0"/>
    <w:rsid w:val="3B654FD2"/>
    <w:rsid w:val="3BDE6599"/>
    <w:rsid w:val="3C212704"/>
    <w:rsid w:val="3C2C423E"/>
    <w:rsid w:val="3CA57AB9"/>
    <w:rsid w:val="3CAC5874"/>
    <w:rsid w:val="3D9851C5"/>
    <w:rsid w:val="3D9B73B9"/>
    <w:rsid w:val="3DB62DA0"/>
    <w:rsid w:val="3DCA26F2"/>
    <w:rsid w:val="3E1175FA"/>
    <w:rsid w:val="3E767554"/>
    <w:rsid w:val="3EAB3B16"/>
    <w:rsid w:val="3EB6770E"/>
    <w:rsid w:val="3EE36436"/>
    <w:rsid w:val="3EE976A1"/>
    <w:rsid w:val="3EF14931"/>
    <w:rsid w:val="3EFF500A"/>
    <w:rsid w:val="3F1A0D5B"/>
    <w:rsid w:val="3F3E5311"/>
    <w:rsid w:val="3F4B1CBB"/>
    <w:rsid w:val="3F541C08"/>
    <w:rsid w:val="3FCD0FD6"/>
    <w:rsid w:val="3FD9116E"/>
    <w:rsid w:val="403F6D88"/>
    <w:rsid w:val="40BC4452"/>
    <w:rsid w:val="40CA18FC"/>
    <w:rsid w:val="40E62441"/>
    <w:rsid w:val="40FA2E90"/>
    <w:rsid w:val="411860BF"/>
    <w:rsid w:val="41582240"/>
    <w:rsid w:val="416F1764"/>
    <w:rsid w:val="418D4436"/>
    <w:rsid w:val="41C8177E"/>
    <w:rsid w:val="41E57930"/>
    <w:rsid w:val="41FB00F8"/>
    <w:rsid w:val="420D7B8D"/>
    <w:rsid w:val="425B0B0C"/>
    <w:rsid w:val="42873C4E"/>
    <w:rsid w:val="42CC1EF3"/>
    <w:rsid w:val="42DE2ECD"/>
    <w:rsid w:val="42ED3926"/>
    <w:rsid w:val="431562C2"/>
    <w:rsid w:val="43804D85"/>
    <w:rsid w:val="43AE4994"/>
    <w:rsid w:val="43D64DE8"/>
    <w:rsid w:val="43FC72F5"/>
    <w:rsid w:val="446864E3"/>
    <w:rsid w:val="451479B3"/>
    <w:rsid w:val="452A7F9D"/>
    <w:rsid w:val="45356BAA"/>
    <w:rsid w:val="45447333"/>
    <w:rsid w:val="45997EA6"/>
    <w:rsid w:val="45B54B00"/>
    <w:rsid w:val="45B928A9"/>
    <w:rsid w:val="462421D3"/>
    <w:rsid w:val="46637EB3"/>
    <w:rsid w:val="46A13892"/>
    <w:rsid w:val="47214D79"/>
    <w:rsid w:val="47490126"/>
    <w:rsid w:val="47C6619A"/>
    <w:rsid w:val="47DF34BD"/>
    <w:rsid w:val="48025E22"/>
    <w:rsid w:val="48260CE3"/>
    <w:rsid w:val="48415FA4"/>
    <w:rsid w:val="48525E03"/>
    <w:rsid w:val="487D2ECC"/>
    <w:rsid w:val="48A16049"/>
    <w:rsid w:val="48AD2831"/>
    <w:rsid w:val="48B23B46"/>
    <w:rsid w:val="4934163C"/>
    <w:rsid w:val="4963300F"/>
    <w:rsid w:val="49B34DBA"/>
    <w:rsid w:val="49C34EFF"/>
    <w:rsid w:val="4A39037F"/>
    <w:rsid w:val="4A4F0470"/>
    <w:rsid w:val="4AA55BDC"/>
    <w:rsid w:val="4AB743AD"/>
    <w:rsid w:val="4ABF6C17"/>
    <w:rsid w:val="4AC71587"/>
    <w:rsid w:val="4B056630"/>
    <w:rsid w:val="4B1476F4"/>
    <w:rsid w:val="4B2F1D20"/>
    <w:rsid w:val="4B323550"/>
    <w:rsid w:val="4B4D6401"/>
    <w:rsid w:val="4B9934F7"/>
    <w:rsid w:val="4BA32640"/>
    <w:rsid w:val="4BB52F09"/>
    <w:rsid w:val="4C034479"/>
    <w:rsid w:val="4C1D0929"/>
    <w:rsid w:val="4C6239F1"/>
    <w:rsid w:val="4C8041E5"/>
    <w:rsid w:val="4CA26A83"/>
    <w:rsid w:val="4CB46CF9"/>
    <w:rsid w:val="4D06749C"/>
    <w:rsid w:val="4D284EB6"/>
    <w:rsid w:val="4D465EA5"/>
    <w:rsid w:val="4D592C12"/>
    <w:rsid w:val="4D7E2528"/>
    <w:rsid w:val="4D805108"/>
    <w:rsid w:val="4E2B57C0"/>
    <w:rsid w:val="4E37084B"/>
    <w:rsid w:val="4E706431"/>
    <w:rsid w:val="4E764D04"/>
    <w:rsid w:val="4ECB149E"/>
    <w:rsid w:val="4EFC1EDA"/>
    <w:rsid w:val="4F487905"/>
    <w:rsid w:val="4F6324AA"/>
    <w:rsid w:val="4F796F96"/>
    <w:rsid w:val="4F937B09"/>
    <w:rsid w:val="50B93C77"/>
    <w:rsid w:val="50FF1F80"/>
    <w:rsid w:val="510D6A0C"/>
    <w:rsid w:val="511E24E7"/>
    <w:rsid w:val="51291C37"/>
    <w:rsid w:val="51914592"/>
    <w:rsid w:val="519B2E98"/>
    <w:rsid w:val="51A41C81"/>
    <w:rsid w:val="51CB3E15"/>
    <w:rsid w:val="51DE1054"/>
    <w:rsid w:val="524856AA"/>
    <w:rsid w:val="528A4CF6"/>
    <w:rsid w:val="528E6F80"/>
    <w:rsid w:val="52A449F3"/>
    <w:rsid w:val="52C77001"/>
    <w:rsid w:val="52DB00D9"/>
    <w:rsid w:val="53122698"/>
    <w:rsid w:val="533A38C0"/>
    <w:rsid w:val="534B3B7F"/>
    <w:rsid w:val="534B5625"/>
    <w:rsid w:val="535C2E2D"/>
    <w:rsid w:val="54013CBC"/>
    <w:rsid w:val="54054A00"/>
    <w:rsid w:val="54112A69"/>
    <w:rsid w:val="544E2FC1"/>
    <w:rsid w:val="553917F7"/>
    <w:rsid w:val="55590320"/>
    <w:rsid w:val="557C2AB8"/>
    <w:rsid w:val="5589421C"/>
    <w:rsid w:val="559B1BCA"/>
    <w:rsid w:val="55C64940"/>
    <w:rsid w:val="55D40962"/>
    <w:rsid w:val="56224931"/>
    <w:rsid w:val="56704BCC"/>
    <w:rsid w:val="5676456E"/>
    <w:rsid w:val="568A64CD"/>
    <w:rsid w:val="56D436D3"/>
    <w:rsid w:val="56D52F7D"/>
    <w:rsid w:val="5706511B"/>
    <w:rsid w:val="571B4424"/>
    <w:rsid w:val="57A70EDC"/>
    <w:rsid w:val="57D03EFB"/>
    <w:rsid w:val="57D3302A"/>
    <w:rsid w:val="58686641"/>
    <w:rsid w:val="58791C43"/>
    <w:rsid w:val="587F72CC"/>
    <w:rsid w:val="588A1A00"/>
    <w:rsid w:val="58AF36B0"/>
    <w:rsid w:val="59504925"/>
    <w:rsid w:val="59A03F3F"/>
    <w:rsid w:val="59C65573"/>
    <w:rsid w:val="59F57ABA"/>
    <w:rsid w:val="59F8190C"/>
    <w:rsid w:val="5A2B70D3"/>
    <w:rsid w:val="5A7B7198"/>
    <w:rsid w:val="5AB302BC"/>
    <w:rsid w:val="5AFB6EFD"/>
    <w:rsid w:val="5B12194C"/>
    <w:rsid w:val="5B747B5A"/>
    <w:rsid w:val="5B8D1F59"/>
    <w:rsid w:val="5B8E18CC"/>
    <w:rsid w:val="5BD04033"/>
    <w:rsid w:val="5BE62F4B"/>
    <w:rsid w:val="5C194F28"/>
    <w:rsid w:val="5C422E4F"/>
    <w:rsid w:val="5C4E4922"/>
    <w:rsid w:val="5C8A712F"/>
    <w:rsid w:val="5D38267A"/>
    <w:rsid w:val="5D4222ED"/>
    <w:rsid w:val="5D916B93"/>
    <w:rsid w:val="5D97078B"/>
    <w:rsid w:val="5DA82B05"/>
    <w:rsid w:val="5DB56E3B"/>
    <w:rsid w:val="5DC820F2"/>
    <w:rsid w:val="5DFD0846"/>
    <w:rsid w:val="5E015EFE"/>
    <w:rsid w:val="5E0723DA"/>
    <w:rsid w:val="5E6861B2"/>
    <w:rsid w:val="5EB21284"/>
    <w:rsid w:val="5EE84DAC"/>
    <w:rsid w:val="5EFB7F37"/>
    <w:rsid w:val="5F352F38"/>
    <w:rsid w:val="5F6B1986"/>
    <w:rsid w:val="5F9A1F38"/>
    <w:rsid w:val="5FF40A7C"/>
    <w:rsid w:val="6003286E"/>
    <w:rsid w:val="601314DD"/>
    <w:rsid w:val="601B2DB6"/>
    <w:rsid w:val="605437E6"/>
    <w:rsid w:val="606340B3"/>
    <w:rsid w:val="60951F17"/>
    <w:rsid w:val="6098124A"/>
    <w:rsid w:val="60CB22A0"/>
    <w:rsid w:val="60D42D50"/>
    <w:rsid w:val="6106763F"/>
    <w:rsid w:val="610C642D"/>
    <w:rsid w:val="611D523F"/>
    <w:rsid w:val="61476BCA"/>
    <w:rsid w:val="61813F0D"/>
    <w:rsid w:val="618209FE"/>
    <w:rsid w:val="618C32EA"/>
    <w:rsid w:val="61A873B6"/>
    <w:rsid w:val="61CC0C35"/>
    <w:rsid w:val="623E2231"/>
    <w:rsid w:val="624A4B41"/>
    <w:rsid w:val="626E35B2"/>
    <w:rsid w:val="62870BDA"/>
    <w:rsid w:val="62913C09"/>
    <w:rsid w:val="62E0492A"/>
    <w:rsid w:val="63382E31"/>
    <w:rsid w:val="637F78A6"/>
    <w:rsid w:val="63A6086D"/>
    <w:rsid w:val="63EF3AB0"/>
    <w:rsid w:val="64202DC6"/>
    <w:rsid w:val="649A2549"/>
    <w:rsid w:val="650E7CCA"/>
    <w:rsid w:val="654C444E"/>
    <w:rsid w:val="655B0125"/>
    <w:rsid w:val="656415C8"/>
    <w:rsid w:val="659418E5"/>
    <w:rsid w:val="65D7042B"/>
    <w:rsid w:val="65DA7F29"/>
    <w:rsid w:val="667D0FBF"/>
    <w:rsid w:val="66874F69"/>
    <w:rsid w:val="669C07D8"/>
    <w:rsid w:val="670F49AE"/>
    <w:rsid w:val="67CC3610"/>
    <w:rsid w:val="67F64235"/>
    <w:rsid w:val="6808528A"/>
    <w:rsid w:val="680E67CE"/>
    <w:rsid w:val="682118F0"/>
    <w:rsid w:val="69152321"/>
    <w:rsid w:val="691A52C3"/>
    <w:rsid w:val="699B2AC0"/>
    <w:rsid w:val="69D87179"/>
    <w:rsid w:val="69D97144"/>
    <w:rsid w:val="69FA19B3"/>
    <w:rsid w:val="69FC321E"/>
    <w:rsid w:val="6A0D6FE0"/>
    <w:rsid w:val="6A682809"/>
    <w:rsid w:val="6A6F09DD"/>
    <w:rsid w:val="6A9144DA"/>
    <w:rsid w:val="6AAA323B"/>
    <w:rsid w:val="6AC76099"/>
    <w:rsid w:val="6ADF01A7"/>
    <w:rsid w:val="6AEB1659"/>
    <w:rsid w:val="6B205820"/>
    <w:rsid w:val="6B4A1610"/>
    <w:rsid w:val="6B8C3281"/>
    <w:rsid w:val="6B904984"/>
    <w:rsid w:val="6BFD74DC"/>
    <w:rsid w:val="6C7042BE"/>
    <w:rsid w:val="6C7E69B1"/>
    <w:rsid w:val="6C930878"/>
    <w:rsid w:val="6D1D776E"/>
    <w:rsid w:val="6D4F75BC"/>
    <w:rsid w:val="6D7C2A22"/>
    <w:rsid w:val="6D95016E"/>
    <w:rsid w:val="6DBD2465"/>
    <w:rsid w:val="6E2B3C66"/>
    <w:rsid w:val="6EB00AE6"/>
    <w:rsid w:val="6EEB3C2F"/>
    <w:rsid w:val="6F135CF1"/>
    <w:rsid w:val="6F255735"/>
    <w:rsid w:val="6F5E16E8"/>
    <w:rsid w:val="6F6B7371"/>
    <w:rsid w:val="6F873707"/>
    <w:rsid w:val="6FA95A77"/>
    <w:rsid w:val="6FD46B7A"/>
    <w:rsid w:val="70416123"/>
    <w:rsid w:val="704C0497"/>
    <w:rsid w:val="70733D63"/>
    <w:rsid w:val="709C13CF"/>
    <w:rsid w:val="70A76BD3"/>
    <w:rsid w:val="70BB3F06"/>
    <w:rsid w:val="70C81D19"/>
    <w:rsid w:val="70CF58CB"/>
    <w:rsid w:val="70E47206"/>
    <w:rsid w:val="70EF42E3"/>
    <w:rsid w:val="70FD61D5"/>
    <w:rsid w:val="71074820"/>
    <w:rsid w:val="712D7797"/>
    <w:rsid w:val="71386CCF"/>
    <w:rsid w:val="713B7229"/>
    <w:rsid w:val="71F74A12"/>
    <w:rsid w:val="721455EC"/>
    <w:rsid w:val="724454A3"/>
    <w:rsid w:val="724D5960"/>
    <w:rsid w:val="72703CD0"/>
    <w:rsid w:val="72B81B50"/>
    <w:rsid w:val="731420E4"/>
    <w:rsid w:val="733448EB"/>
    <w:rsid w:val="734D7649"/>
    <w:rsid w:val="7358502A"/>
    <w:rsid w:val="735B0922"/>
    <w:rsid w:val="7371784D"/>
    <w:rsid w:val="73A96DF3"/>
    <w:rsid w:val="741F06E4"/>
    <w:rsid w:val="744C2A5A"/>
    <w:rsid w:val="74825C38"/>
    <w:rsid w:val="74FC3C2A"/>
    <w:rsid w:val="74FF70F2"/>
    <w:rsid w:val="75162856"/>
    <w:rsid w:val="75250ADF"/>
    <w:rsid w:val="75335083"/>
    <w:rsid w:val="754764E9"/>
    <w:rsid w:val="75711F49"/>
    <w:rsid w:val="75726E64"/>
    <w:rsid w:val="75856942"/>
    <w:rsid w:val="75D05F45"/>
    <w:rsid w:val="75D57F90"/>
    <w:rsid w:val="762E6628"/>
    <w:rsid w:val="768324A3"/>
    <w:rsid w:val="76BE73C9"/>
    <w:rsid w:val="76F34F13"/>
    <w:rsid w:val="76FC2AF3"/>
    <w:rsid w:val="77037A5D"/>
    <w:rsid w:val="770D2E23"/>
    <w:rsid w:val="773A62C9"/>
    <w:rsid w:val="774B11E9"/>
    <w:rsid w:val="77A01EFC"/>
    <w:rsid w:val="77BA0A8B"/>
    <w:rsid w:val="788B34BC"/>
    <w:rsid w:val="78AD6F93"/>
    <w:rsid w:val="78C6200B"/>
    <w:rsid w:val="78CA6B0F"/>
    <w:rsid w:val="78D4084B"/>
    <w:rsid w:val="78EE6B97"/>
    <w:rsid w:val="790A48BB"/>
    <w:rsid w:val="790E106B"/>
    <w:rsid w:val="792B3B30"/>
    <w:rsid w:val="793464F6"/>
    <w:rsid w:val="79C22C0F"/>
    <w:rsid w:val="79C92E5E"/>
    <w:rsid w:val="79F667E4"/>
    <w:rsid w:val="7A6A77DB"/>
    <w:rsid w:val="7A7371B7"/>
    <w:rsid w:val="7A7F2FB1"/>
    <w:rsid w:val="7AA44033"/>
    <w:rsid w:val="7AF244C2"/>
    <w:rsid w:val="7B0B325E"/>
    <w:rsid w:val="7B185BD0"/>
    <w:rsid w:val="7B215142"/>
    <w:rsid w:val="7B806663"/>
    <w:rsid w:val="7B900054"/>
    <w:rsid w:val="7C044A7B"/>
    <w:rsid w:val="7C155B5A"/>
    <w:rsid w:val="7C1D3745"/>
    <w:rsid w:val="7C323DEE"/>
    <w:rsid w:val="7C432C32"/>
    <w:rsid w:val="7C621F79"/>
    <w:rsid w:val="7C8428B8"/>
    <w:rsid w:val="7CE865CF"/>
    <w:rsid w:val="7D326E98"/>
    <w:rsid w:val="7D3E7649"/>
    <w:rsid w:val="7DC65E0F"/>
    <w:rsid w:val="7DDA090E"/>
    <w:rsid w:val="7DFB6B1D"/>
    <w:rsid w:val="7E5570D2"/>
    <w:rsid w:val="7E6D0243"/>
    <w:rsid w:val="7E7F6BB6"/>
    <w:rsid w:val="7ECC2174"/>
    <w:rsid w:val="7F243216"/>
    <w:rsid w:val="7F353655"/>
    <w:rsid w:val="7F363569"/>
    <w:rsid w:val="7F375F52"/>
    <w:rsid w:val="7F7C0EA6"/>
    <w:rsid w:val="7F863192"/>
    <w:rsid w:val="7FBC6DDA"/>
    <w:rsid w:val="7FCC40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qFormat="1" w:unhideWhenUsed="0" w:uiPriority="99" w:semiHidden="0"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ocked="1"/>
    <w:lsdException w:uiPriority="99" w:name="Body Text First Indent 2" w:locked="1"/>
    <w:lsdException w:uiPriority="99" w:name="Note Heading" w:locked="1"/>
    <w:lsdException w:qFormat="1" w:unhideWhenUsed="0" w:uiPriority="0"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0"/>
      <w:lang w:val="en-US" w:eastAsia="zh-CN" w:bidi="ar-SA"/>
    </w:rPr>
  </w:style>
  <w:style w:type="paragraph" w:styleId="3">
    <w:name w:val="heading 1"/>
    <w:basedOn w:val="1"/>
    <w:next w:val="1"/>
    <w:link w:val="17"/>
    <w:qFormat/>
    <w:uiPriority w:val="99"/>
    <w:pPr>
      <w:autoSpaceDE w:val="0"/>
      <w:autoSpaceDN w:val="0"/>
      <w:adjustRightInd w:val="0"/>
      <w:ind w:right="-197" w:rightChars="-94"/>
      <w:jc w:val="center"/>
      <w:outlineLvl w:val="0"/>
    </w:pPr>
    <w:rPr>
      <w:rFonts w:ascii="黑体" w:hAnsi="宋体" w:eastAsia="黑体" w:cs="黑体"/>
      <w:b/>
      <w:color w:val="000000"/>
      <w:sz w:val="32"/>
      <w:szCs w:val="32"/>
    </w:rPr>
  </w:style>
  <w:style w:type="paragraph" w:styleId="2">
    <w:name w:val="heading 2"/>
    <w:basedOn w:val="1"/>
    <w:next w:val="1"/>
    <w:link w:val="18"/>
    <w:qFormat/>
    <w:uiPriority w:val="99"/>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99"/>
  </w:style>
  <w:style w:type="table" w:default="1" w:styleId="1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4">
    <w:name w:val="Normal Indent"/>
    <w:basedOn w:val="1"/>
    <w:next w:val="1"/>
    <w:qFormat/>
    <w:uiPriority w:val="99"/>
    <w:pPr>
      <w:widowControl/>
      <w:ind w:firstLine="420"/>
      <w:jc w:val="left"/>
    </w:pPr>
    <w:rPr>
      <w:kern w:val="0"/>
      <w:sz w:val="20"/>
    </w:rPr>
  </w:style>
  <w:style w:type="paragraph" w:styleId="5">
    <w:name w:val="Body Text"/>
    <w:basedOn w:val="1"/>
    <w:next w:val="6"/>
    <w:link w:val="19"/>
    <w:qFormat/>
    <w:uiPriority w:val="99"/>
    <w:pPr>
      <w:spacing w:after="120"/>
    </w:pPr>
  </w:style>
  <w:style w:type="paragraph" w:styleId="6">
    <w:name w:val="Body Text 2"/>
    <w:basedOn w:val="1"/>
    <w:qFormat/>
    <w:locked/>
    <w:uiPriority w:val="0"/>
    <w:rPr>
      <w:b/>
      <w:bCs/>
      <w:sz w:val="24"/>
    </w:rPr>
  </w:style>
  <w:style w:type="paragraph" w:styleId="7">
    <w:name w:val="Plain Text"/>
    <w:basedOn w:val="1"/>
    <w:link w:val="20"/>
    <w:qFormat/>
    <w:locked/>
    <w:uiPriority w:val="99"/>
    <w:rPr>
      <w:rFonts w:ascii="宋体" w:hAnsi="Courier New" w:cs="Courier New"/>
      <w:szCs w:val="21"/>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0">
    <w:name w:val="Signature"/>
    <w:basedOn w:val="1"/>
    <w:link w:val="23"/>
    <w:qFormat/>
    <w:locked/>
    <w:uiPriority w:val="99"/>
    <w:pPr>
      <w:ind w:left="100" w:leftChars="2100"/>
    </w:pPr>
  </w:style>
  <w:style w:type="paragraph" w:styleId="11">
    <w:name w:val="List"/>
    <w:basedOn w:val="1"/>
    <w:qFormat/>
    <w:uiPriority w:val="99"/>
    <w:pPr>
      <w:ind w:left="200" w:hanging="200" w:hangingChars="200"/>
    </w:pPr>
  </w:style>
  <w:style w:type="paragraph" w:styleId="12">
    <w:name w:val="Body Text First Indent"/>
    <w:basedOn w:val="5"/>
    <w:link w:val="24"/>
    <w:qFormat/>
    <w:locked/>
    <w:uiPriority w:val="99"/>
    <w:pPr>
      <w:ind w:firstLine="420" w:firstLineChars="100"/>
    </w:pPr>
  </w:style>
  <w:style w:type="table" w:styleId="14">
    <w:name w:val="Table Grid"/>
    <w:basedOn w:val="13"/>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99"/>
    <w:rPr>
      <w:rFonts w:cs="Times New Roman"/>
    </w:rPr>
  </w:style>
  <w:style w:type="character" w:customStyle="1" w:styleId="17">
    <w:name w:val="Heading 1 Char"/>
    <w:basedOn w:val="15"/>
    <w:link w:val="3"/>
    <w:qFormat/>
    <w:locked/>
    <w:uiPriority w:val="99"/>
    <w:rPr>
      <w:rFonts w:ascii="黑体" w:hAnsi="宋体" w:eastAsia="黑体" w:cs="Times New Roman"/>
      <w:b/>
      <w:color w:val="000000"/>
      <w:kern w:val="2"/>
      <w:sz w:val="32"/>
      <w:lang w:val="en-US" w:eastAsia="zh-CN"/>
    </w:rPr>
  </w:style>
  <w:style w:type="character" w:customStyle="1" w:styleId="18">
    <w:name w:val="Heading 2 Char"/>
    <w:basedOn w:val="15"/>
    <w:link w:val="2"/>
    <w:semiHidden/>
    <w:qFormat/>
    <w:locked/>
    <w:uiPriority w:val="99"/>
    <w:rPr>
      <w:rFonts w:ascii="Cambria" w:hAnsi="Cambria" w:eastAsia="宋体" w:cs="Times New Roman"/>
      <w:b/>
      <w:bCs/>
      <w:sz w:val="32"/>
      <w:szCs w:val="32"/>
    </w:rPr>
  </w:style>
  <w:style w:type="character" w:customStyle="1" w:styleId="19">
    <w:name w:val="Body Text Char"/>
    <w:basedOn w:val="15"/>
    <w:link w:val="5"/>
    <w:semiHidden/>
    <w:qFormat/>
    <w:locked/>
    <w:uiPriority w:val="99"/>
    <w:rPr>
      <w:rFonts w:cs="Times New Roman"/>
      <w:sz w:val="20"/>
      <w:szCs w:val="20"/>
    </w:rPr>
  </w:style>
  <w:style w:type="character" w:customStyle="1" w:styleId="20">
    <w:name w:val="Plain Text Char"/>
    <w:basedOn w:val="15"/>
    <w:link w:val="7"/>
    <w:semiHidden/>
    <w:qFormat/>
    <w:locked/>
    <w:uiPriority w:val="99"/>
    <w:rPr>
      <w:rFonts w:ascii="宋体" w:hAnsi="Courier New" w:cs="Courier New"/>
      <w:sz w:val="21"/>
      <w:szCs w:val="21"/>
    </w:rPr>
  </w:style>
  <w:style w:type="character" w:customStyle="1" w:styleId="21">
    <w:name w:val="Footer Char"/>
    <w:basedOn w:val="15"/>
    <w:link w:val="8"/>
    <w:semiHidden/>
    <w:qFormat/>
    <w:locked/>
    <w:uiPriority w:val="99"/>
    <w:rPr>
      <w:rFonts w:cs="Times New Roman"/>
      <w:sz w:val="18"/>
      <w:szCs w:val="18"/>
    </w:rPr>
  </w:style>
  <w:style w:type="character" w:customStyle="1" w:styleId="22">
    <w:name w:val="Header Char"/>
    <w:basedOn w:val="15"/>
    <w:link w:val="9"/>
    <w:semiHidden/>
    <w:qFormat/>
    <w:locked/>
    <w:uiPriority w:val="99"/>
    <w:rPr>
      <w:rFonts w:cs="Times New Roman"/>
      <w:sz w:val="18"/>
      <w:szCs w:val="18"/>
    </w:rPr>
  </w:style>
  <w:style w:type="character" w:customStyle="1" w:styleId="23">
    <w:name w:val="Signature Char"/>
    <w:basedOn w:val="15"/>
    <w:link w:val="10"/>
    <w:semiHidden/>
    <w:qFormat/>
    <w:locked/>
    <w:uiPriority w:val="99"/>
    <w:rPr>
      <w:rFonts w:cs="Times New Roman"/>
      <w:sz w:val="20"/>
      <w:szCs w:val="20"/>
    </w:rPr>
  </w:style>
  <w:style w:type="character" w:customStyle="1" w:styleId="24">
    <w:name w:val="Body Text First Indent Char"/>
    <w:basedOn w:val="19"/>
    <w:link w:val="12"/>
    <w:semiHidden/>
    <w:qFormat/>
    <w:locked/>
    <w:uiPriority w:val="99"/>
  </w:style>
  <w:style w:type="paragraph" w:customStyle="1" w:styleId="25">
    <w:name w:val="_Style 30"/>
    <w:basedOn w:val="1"/>
    <w:qFormat/>
    <w:uiPriority w:val="99"/>
  </w:style>
  <w:style w:type="paragraph" w:customStyle="1" w:styleId="26">
    <w:name w:val="_Style 10"/>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paragraph" w:customStyle="1" w:styleId="27">
    <w:name w:val="列出段落1"/>
    <w:basedOn w:val="1"/>
    <w:qFormat/>
    <w:uiPriority w:val="99"/>
    <w:pPr>
      <w:ind w:firstLine="420" w:firstLineChars="200"/>
    </w:pPr>
  </w:style>
  <w:style w:type="paragraph" w:customStyle="1" w:styleId="28">
    <w:name w:val="列出段落2"/>
    <w:basedOn w:val="1"/>
    <w:qFormat/>
    <w:uiPriority w:val="99"/>
    <w:pPr>
      <w:ind w:firstLine="420" w:firstLineChars="200"/>
    </w:pPr>
  </w:style>
  <w:style w:type="character" w:customStyle="1" w:styleId="29">
    <w:name w:val="font01"/>
    <w:basedOn w:val="15"/>
    <w:qFormat/>
    <w:uiPriority w:val="0"/>
    <w:rPr>
      <w:rFonts w:hint="eastAsia" w:ascii="宋体" w:hAnsi="宋体" w:eastAsia="宋体" w:cs="宋体"/>
      <w:b/>
      <w:bCs/>
      <w:color w:val="000000"/>
      <w:sz w:val="20"/>
      <w:szCs w:val="20"/>
      <w:u w:val="none"/>
    </w:rPr>
  </w:style>
  <w:style w:type="character" w:customStyle="1" w:styleId="30">
    <w:name w:val="font11"/>
    <w:basedOn w:val="15"/>
    <w:qFormat/>
    <w:uiPriority w:val="0"/>
    <w:rPr>
      <w:rFonts w:hint="eastAsia" w:ascii="宋体" w:hAnsi="宋体" w:eastAsia="宋体" w:cs="宋体"/>
      <w:color w:val="000000"/>
      <w:sz w:val="20"/>
      <w:szCs w:val="20"/>
      <w:u w:val="none"/>
    </w:rPr>
  </w:style>
  <w:style w:type="character" w:customStyle="1" w:styleId="31">
    <w:name w:val="font31"/>
    <w:basedOn w:val="15"/>
    <w:qFormat/>
    <w:uiPriority w:val="0"/>
    <w:rPr>
      <w:rFonts w:hint="eastAsia" w:ascii="宋体" w:hAnsi="宋体" w:eastAsia="宋体" w:cs="宋体"/>
      <w:b/>
      <w:bCs/>
      <w:color w:val="000000"/>
      <w:sz w:val="18"/>
      <w:szCs w:val="18"/>
      <w:u w:val="none"/>
    </w:rPr>
  </w:style>
  <w:style w:type="paragraph" w:customStyle="1" w:styleId="32">
    <w:name w:val="p0"/>
    <w:basedOn w:val="1"/>
    <w:qFormat/>
    <w:uiPriority w:val="0"/>
    <w:pPr>
      <w:widowControl/>
    </w:pPr>
    <w:rPr>
      <w:kern w:val="0"/>
      <w:szCs w:val="21"/>
    </w:rPr>
  </w:style>
  <w:style w:type="paragraph" w:customStyle="1" w:styleId="33">
    <w:name w:val="List Paragraph1"/>
    <w:basedOn w:val="1"/>
    <w:qFormat/>
    <w:uiPriority w:val="99"/>
    <w:pPr>
      <w:ind w:firstLine="420" w:firstLineChars="200"/>
    </w:pPr>
  </w:style>
  <w:style w:type="paragraph" w:customStyle="1" w:styleId="34">
    <w:name w:val="Normal Indent"/>
    <w:basedOn w:val="1"/>
    <w:qFormat/>
    <w:uiPriority w:val="0"/>
    <w:pPr>
      <w:widowControl/>
      <w:ind w:firstLine="420"/>
      <w:jc w:val="left"/>
    </w:pPr>
    <w:rPr>
      <w:kern w:val="0"/>
      <w:sz w:val="20"/>
      <w:szCs w:val="20"/>
    </w:rPr>
  </w:style>
  <w:style w:type="paragraph" w:customStyle="1" w:styleId="35">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15</Pages>
  <Words>1693</Words>
  <Characters>1816</Characters>
  <Lines>0</Lines>
  <Paragraphs>0</Paragraphs>
  <TotalTime>14</TotalTime>
  <ScaleCrop>false</ScaleCrop>
  <LinksUpToDate>false</LinksUpToDate>
  <CharactersWithSpaces>1825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2020-09-07T04:11:00Z</dcterms:created>
  <dc:creator>User</dc:creator>
  <cp:lastModifiedBy>刘晓彬</cp:lastModifiedBy>
  <cp:lastPrinted>2014-10-23T02:49:00Z</cp:lastPrinted>
  <dcterms:modified xsi:type="dcterms:W3CDTF">2026-08-06T07:59:27Z</dcterms:modified>
  <dc:title>报价邀请函</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A358AC27758E4D1B8D99123C6F5DA6B2_13</vt:lpwstr>
  </property>
</Properties>
</file>